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Times New Roman" w:hAnsi="Times New Roman"/>
          <w:color w:val="000000"/>
          <w:sz w:val="44"/>
          <w:szCs w:val="44"/>
        </w:rPr>
      </w:pPr>
      <w:bookmarkStart w:id="0" w:name="_Toc535936937"/>
      <w:bookmarkStart w:id="1" w:name="_Toc19451"/>
      <w:r>
        <w:rPr>
          <w:rFonts w:hint="eastAsia" w:ascii="Times New Roman" w:hAnsi="Times New Roman"/>
          <w:b/>
          <w:bCs/>
          <w:color w:val="000000"/>
          <w:sz w:val="44"/>
          <w:szCs w:val="44"/>
        </w:rPr>
        <w:t>证券期货业移动互联网应用程序安全认证</w:t>
      </w:r>
      <w:r>
        <w:rPr>
          <w:rFonts w:ascii="Times New Roman" w:hAnsi="Times New Roman"/>
          <w:b/>
          <w:bCs/>
          <w:color w:val="000000"/>
          <w:sz w:val="44"/>
          <w:szCs w:val="44"/>
        </w:rPr>
        <w:t>自评价表</w:t>
      </w:r>
      <w:bookmarkEnd w:id="0"/>
      <w:bookmarkEnd w:id="1"/>
      <w:bookmarkStart w:id="3" w:name="_GoBack"/>
      <w:bookmarkEnd w:id="3"/>
    </w:p>
    <w:p>
      <w:pPr>
        <w:rPr>
          <w:rFonts w:ascii="Times New Roman" w:hAnsi="Times New Roman"/>
          <w:color w:val="000000"/>
          <w:sz w:val="24"/>
        </w:rPr>
      </w:pPr>
    </w:p>
    <w:p>
      <w:pPr>
        <w:pStyle w:val="6"/>
        <w:spacing w:line="360" w:lineRule="auto"/>
        <w:ind w:firstLine="0" w:firstLineChars="0"/>
        <w:rPr>
          <w:rFonts w:ascii="Times New Roman" w:hAnsi="Times New Roman"/>
          <w:color w:val="000000"/>
          <w:kern w:val="2"/>
          <w:sz w:val="32"/>
          <w:szCs w:val="32"/>
        </w:rPr>
      </w:pPr>
      <w:r>
        <w:rPr>
          <w:rFonts w:hint="eastAsia" w:ascii="Times New Roman" w:hAnsi="Times New Roman"/>
          <w:color w:val="000000"/>
          <w:sz w:val="32"/>
          <w:szCs w:val="32"/>
        </w:rPr>
        <w:t>中证信息技术服务有限责任公司</w:t>
      </w:r>
      <w:r>
        <w:rPr>
          <w:rFonts w:ascii="Times New Roman" w:hAnsi="Times New Roman"/>
          <w:color w:val="000000"/>
          <w:kern w:val="2"/>
          <w:sz w:val="32"/>
          <w:szCs w:val="32"/>
        </w:rPr>
        <w:t>：</w:t>
      </w:r>
    </w:p>
    <w:p>
      <w:pPr>
        <w:pStyle w:val="6"/>
        <w:spacing w:line="360" w:lineRule="auto"/>
        <w:ind w:firstLine="800" w:firstLineChars="250"/>
        <w:rPr>
          <w:rFonts w:hint="eastAsia" w:ascii="Times New Roman" w:hAnsi="Times New Roman"/>
          <w:color w:val="000000"/>
          <w:sz w:val="32"/>
          <w:szCs w:val="32"/>
          <w:lang w:eastAsia="zh-CN"/>
        </w:rPr>
      </w:pPr>
      <w:r>
        <w:rPr>
          <w:rFonts w:ascii="Times New Roman" w:hAnsi="Times New Roman"/>
          <w:color w:val="000000"/>
          <w:sz w:val="32"/>
          <w:szCs w:val="32"/>
        </w:rPr>
        <w:t>本机构</w:t>
      </w:r>
      <w:r>
        <w:rPr>
          <w:rFonts w:hint="eastAsia" w:ascii="Times New Roman" w:hAnsi="Times New Roman"/>
          <w:i/>
          <w:color w:val="FF0000"/>
          <w:sz w:val="32"/>
          <w:szCs w:val="32"/>
          <w:u w:val="single"/>
          <w:lang w:val="en-US" w:eastAsia="zh-CN"/>
        </w:rPr>
        <w:t xml:space="preserve"> 请填写</w:t>
      </w:r>
      <w:r>
        <w:rPr>
          <w:rFonts w:ascii="Times New Roman" w:hAnsi="Times New Roman"/>
          <w:i/>
          <w:color w:val="FF0000"/>
          <w:sz w:val="32"/>
          <w:szCs w:val="32"/>
          <w:u w:val="single"/>
        </w:rPr>
        <w:t>认证</w:t>
      </w:r>
      <w:r>
        <w:rPr>
          <w:rFonts w:hint="eastAsia" w:ascii="Times New Roman" w:hAnsi="Times New Roman"/>
          <w:i/>
          <w:color w:val="FF0000"/>
          <w:sz w:val="32"/>
          <w:szCs w:val="32"/>
          <w:u w:val="single"/>
          <w:lang w:val="en-US" w:eastAsia="zh-CN"/>
        </w:rPr>
        <w:t>委托</w:t>
      </w:r>
      <w:r>
        <w:rPr>
          <w:rFonts w:ascii="Times New Roman" w:hAnsi="Times New Roman"/>
          <w:i/>
          <w:color w:val="FF0000"/>
          <w:sz w:val="32"/>
          <w:szCs w:val="32"/>
          <w:u w:val="single"/>
        </w:rPr>
        <w:t>方名称</w:t>
      </w:r>
      <w:r>
        <w:rPr>
          <w:rFonts w:hint="eastAsia" w:ascii="Times New Roman" w:hAnsi="Times New Roman"/>
          <w:i/>
          <w:color w:val="FF0000"/>
          <w:sz w:val="32"/>
          <w:szCs w:val="32"/>
          <w:u w:val="single"/>
          <w:lang w:val="en-US" w:eastAsia="zh-CN"/>
        </w:rPr>
        <w:t xml:space="preserve"> </w:t>
      </w:r>
      <w:r>
        <w:rPr>
          <w:rFonts w:ascii="Times New Roman" w:hAnsi="Times New Roman"/>
          <w:color w:val="000000"/>
          <w:sz w:val="32"/>
          <w:szCs w:val="32"/>
        </w:rPr>
        <w:t>申请认证的App</w:t>
      </w:r>
      <w:r>
        <w:rPr>
          <w:rFonts w:hint="eastAsia" w:ascii="Times New Roman" w:hAnsi="Times New Roman"/>
          <w:i/>
          <w:color w:val="FF0000"/>
          <w:sz w:val="32"/>
          <w:szCs w:val="32"/>
          <w:u w:val="single"/>
          <w:lang w:val="en-US" w:eastAsia="zh-CN"/>
        </w:rPr>
        <w:t xml:space="preserve"> </w:t>
      </w:r>
      <w:r>
        <w:rPr>
          <w:rFonts w:ascii="Times New Roman" w:hAnsi="Times New Roman"/>
          <w:i/>
          <w:color w:val="FF0000"/>
          <w:sz w:val="32"/>
          <w:szCs w:val="32"/>
          <w:u w:val="single"/>
        </w:rPr>
        <w:t>填写名称</w:t>
      </w:r>
      <w:r>
        <w:rPr>
          <w:rFonts w:hint="eastAsia" w:ascii="Times New Roman" w:hAnsi="Times New Roman"/>
          <w:i/>
          <w:color w:val="FF0000"/>
          <w:sz w:val="32"/>
          <w:szCs w:val="32"/>
          <w:u w:val="single"/>
          <w:lang w:val="en-US" w:eastAsia="zh-CN"/>
        </w:rPr>
        <w:t>+</w:t>
      </w:r>
      <w:r>
        <w:rPr>
          <w:rFonts w:ascii="Times New Roman" w:hAnsi="Times New Roman"/>
          <w:i/>
          <w:color w:val="FF0000"/>
          <w:sz w:val="32"/>
          <w:szCs w:val="32"/>
          <w:u w:val="single"/>
        </w:rPr>
        <w:t>版本号</w:t>
      </w:r>
      <w:r>
        <w:rPr>
          <w:rFonts w:hint="eastAsia" w:ascii="Times New Roman" w:hAnsi="Times New Roman"/>
          <w:i/>
          <w:color w:val="FF0000"/>
          <w:sz w:val="32"/>
          <w:szCs w:val="32"/>
          <w:u w:val="single"/>
          <w:lang w:eastAsia="zh-CN"/>
        </w:rPr>
        <w:t>+</w:t>
      </w:r>
      <w:r>
        <w:rPr>
          <w:rFonts w:hint="eastAsia" w:ascii="Times New Roman" w:hAnsi="Times New Roman"/>
          <w:i/>
          <w:color w:val="FF0000"/>
          <w:sz w:val="32"/>
          <w:szCs w:val="32"/>
          <w:u w:val="single"/>
        </w:rPr>
        <w:t>操作系统平台</w:t>
      </w:r>
      <w:r>
        <w:rPr>
          <w:rFonts w:hint="eastAsia" w:ascii="Times New Roman" w:hAnsi="Times New Roman"/>
          <w:i/>
          <w:color w:val="FF0000"/>
          <w:sz w:val="32"/>
          <w:szCs w:val="32"/>
          <w:u w:val="single"/>
          <w:lang w:val="en-US" w:eastAsia="zh-CN"/>
        </w:rPr>
        <w:t xml:space="preserve"> </w:t>
      </w:r>
      <w:r>
        <w:rPr>
          <w:rFonts w:ascii="Times New Roman" w:hAnsi="Times New Roman"/>
          <w:color w:val="000000"/>
          <w:sz w:val="32"/>
          <w:szCs w:val="32"/>
        </w:rPr>
        <w:t>对</w:t>
      </w:r>
      <w:bookmarkStart w:id="2" w:name="_Hlk16601440"/>
      <w:r>
        <w:rPr>
          <w:rFonts w:hint="eastAsia" w:ascii="Times New Roman" w:hAnsi="Times New Roman"/>
          <w:color w:val="000000"/>
          <w:sz w:val="32"/>
          <w:szCs w:val="32"/>
        </w:rPr>
        <w:t>JR</w:t>
      </w:r>
      <w:r>
        <w:rPr>
          <w:rFonts w:ascii="Times New Roman" w:hAnsi="Times New Roman"/>
          <w:color w:val="000000"/>
          <w:kern w:val="2"/>
          <w:sz w:val="32"/>
          <w:szCs w:val="32"/>
        </w:rPr>
        <w:t xml:space="preserve">/T </w:t>
      </w:r>
      <w:r>
        <w:rPr>
          <w:rFonts w:hint="eastAsia" w:ascii="Times New Roman" w:hAnsi="Times New Roman"/>
          <w:color w:val="000000"/>
          <w:kern w:val="2"/>
          <w:sz w:val="32"/>
          <w:szCs w:val="32"/>
        </w:rPr>
        <w:t>0192-</w:t>
      </w:r>
      <w:r>
        <w:rPr>
          <w:rFonts w:ascii="Times New Roman" w:hAnsi="Times New Roman"/>
          <w:color w:val="000000"/>
          <w:kern w:val="2"/>
          <w:sz w:val="32"/>
          <w:szCs w:val="32"/>
        </w:rPr>
        <w:t>2020《</w:t>
      </w:r>
      <w:r>
        <w:rPr>
          <w:rFonts w:hint="eastAsia" w:ascii="Times New Roman" w:hAnsi="Times New Roman"/>
          <w:color w:val="000000"/>
          <w:kern w:val="2"/>
          <w:sz w:val="32"/>
          <w:szCs w:val="32"/>
        </w:rPr>
        <w:t>证券期货业移动互联网应用程序安全规范</w:t>
      </w:r>
      <w:r>
        <w:rPr>
          <w:rFonts w:ascii="Times New Roman" w:hAnsi="Times New Roman"/>
          <w:color w:val="000000"/>
          <w:kern w:val="2"/>
          <w:sz w:val="32"/>
          <w:szCs w:val="32"/>
        </w:rPr>
        <w:t>》</w:t>
      </w:r>
      <w:bookmarkEnd w:id="2"/>
      <w:r>
        <w:rPr>
          <w:rFonts w:hint="eastAsia" w:ascii="Times New Roman" w:hAnsi="Times New Roman"/>
          <w:color w:val="000000"/>
          <w:kern w:val="2"/>
          <w:sz w:val="32"/>
          <w:szCs w:val="32"/>
          <w:lang w:eastAsia="zh-CN"/>
        </w:rPr>
        <w:t>、</w:t>
      </w:r>
      <w:r>
        <w:rPr>
          <w:rFonts w:hint="eastAsia" w:ascii="Times New Roman" w:hAnsi="Times New Roman"/>
          <w:color w:val="000000"/>
          <w:kern w:val="2"/>
          <w:sz w:val="32"/>
          <w:szCs w:val="32"/>
          <w:lang w:val="en-US" w:eastAsia="zh-CN"/>
        </w:rPr>
        <w:t>JR/T 0240-2021《</w:t>
      </w:r>
      <w:r>
        <w:rPr>
          <w:rFonts w:hint="eastAsia" w:ascii="Times New Roman" w:hAnsi="Times New Roman"/>
          <w:color w:val="000000"/>
          <w:kern w:val="2"/>
          <w:sz w:val="32"/>
          <w:szCs w:val="32"/>
        </w:rPr>
        <w:t>证券期货业移动互联网应用程序安全</w:t>
      </w:r>
      <w:r>
        <w:rPr>
          <w:rFonts w:hint="eastAsia" w:ascii="Times New Roman" w:hAnsi="Times New Roman"/>
          <w:color w:val="000000"/>
          <w:kern w:val="2"/>
          <w:sz w:val="32"/>
          <w:szCs w:val="32"/>
          <w:lang w:val="en-US" w:eastAsia="zh-CN"/>
        </w:rPr>
        <w:t>检测</w:t>
      </w:r>
      <w:r>
        <w:rPr>
          <w:rFonts w:hint="eastAsia" w:ascii="Times New Roman" w:hAnsi="Times New Roman"/>
          <w:color w:val="000000"/>
          <w:kern w:val="2"/>
          <w:sz w:val="32"/>
          <w:szCs w:val="32"/>
        </w:rPr>
        <w:t>规范</w:t>
      </w:r>
      <w:r>
        <w:rPr>
          <w:rFonts w:hint="eastAsia" w:ascii="Times New Roman" w:hAnsi="Times New Roman"/>
          <w:color w:val="000000"/>
          <w:kern w:val="2"/>
          <w:sz w:val="32"/>
          <w:szCs w:val="32"/>
          <w:lang w:val="en-US" w:eastAsia="zh-CN"/>
        </w:rPr>
        <w:t>》</w:t>
      </w:r>
      <w:r>
        <w:rPr>
          <w:rFonts w:ascii="Times New Roman" w:hAnsi="Times New Roman"/>
          <w:color w:val="000000"/>
          <w:sz w:val="32"/>
          <w:szCs w:val="32"/>
        </w:rPr>
        <w:t>中相关条款自评价结果</w:t>
      </w:r>
      <w:r>
        <w:rPr>
          <w:rFonts w:hint="eastAsia" w:ascii="Times New Roman" w:hAnsi="Times New Roman"/>
          <w:color w:val="000000"/>
          <w:sz w:val="32"/>
          <w:szCs w:val="32"/>
          <w:lang w:eastAsia="zh-CN"/>
        </w:rPr>
        <w:t>见</w:t>
      </w:r>
      <w:r>
        <w:rPr>
          <w:rFonts w:hint="eastAsia" w:ascii="Times New Roman" w:hAnsi="Times New Roman"/>
          <w:color w:val="000000"/>
          <w:sz w:val="32"/>
          <w:szCs w:val="32"/>
          <w:lang w:val="en-US" w:eastAsia="zh-CN"/>
        </w:rPr>
        <w:t>下表</w:t>
      </w:r>
      <w:r>
        <w:rPr>
          <w:rFonts w:hint="eastAsia" w:ascii="Times New Roman" w:hAnsi="Times New Roman"/>
          <w:color w:val="000000"/>
          <w:sz w:val="32"/>
          <w:szCs w:val="32"/>
          <w:lang w:eastAsia="zh-CN"/>
        </w:rPr>
        <w:t>：</w:t>
      </w:r>
    </w:p>
    <w:p>
      <w:pPr>
        <w:pStyle w:val="6"/>
        <w:spacing w:line="360" w:lineRule="auto"/>
        <w:ind w:firstLine="800" w:firstLineChars="250"/>
        <w:rPr>
          <w:rFonts w:hint="eastAsia" w:ascii="Times New Roman" w:hAnsi="Times New Roman"/>
          <w:color w:val="000000"/>
          <w:sz w:val="32"/>
          <w:szCs w:val="32"/>
          <w:lang w:eastAsia="zh-CN"/>
        </w:rPr>
      </w:pPr>
    </w:p>
    <w:p>
      <w:pPr>
        <w:pStyle w:val="6"/>
        <w:keepNext w:val="0"/>
        <w:keepLines w:val="0"/>
        <w:pageBreakBefore w:val="0"/>
        <w:widowControl/>
        <w:kinsoku/>
        <w:wordWrap/>
        <w:overflowPunct/>
        <w:topLinePunct w:val="0"/>
        <w:autoSpaceDE w:val="0"/>
        <w:autoSpaceDN w:val="0"/>
        <w:bidi w:val="0"/>
        <w:adjustRightInd/>
        <w:snapToGrid/>
        <w:spacing w:before="157" w:beforeLines="50" w:line="360" w:lineRule="auto"/>
        <w:ind w:left="0" w:leftChars="0" w:firstLine="0" w:firstLineChars="0"/>
        <w:textAlignment w:val="auto"/>
        <w:rPr>
          <w:rFonts w:hAnsi="宋体"/>
          <w:color w:val="000000"/>
          <w:sz w:val="24"/>
          <w:szCs w:val="24"/>
        </w:rPr>
      </w:pPr>
      <w:r>
        <w:rPr>
          <w:rFonts w:hAnsi="宋体"/>
          <w:b/>
          <w:bCs/>
          <w:color w:val="000000"/>
          <w:sz w:val="24"/>
          <w:szCs w:val="24"/>
        </w:rPr>
        <w:t>填表说明：</w:t>
      </w:r>
    </w:p>
    <w:p>
      <w:pPr>
        <w:pStyle w:val="6"/>
        <w:numPr>
          <w:ilvl w:val="0"/>
          <w:numId w:val="1"/>
        </w:numPr>
        <w:spacing w:line="240" w:lineRule="auto"/>
        <w:ind w:firstLine="600" w:firstLineChars="250"/>
        <w:rPr>
          <w:rFonts w:hAnsi="宋体"/>
          <w:color w:val="000000"/>
          <w:sz w:val="24"/>
          <w:szCs w:val="24"/>
          <w:highlight w:val="none"/>
        </w:rPr>
      </w:pPr>
      <w:r>
        <w:rPr>
          <w:rFonts w:hAnsi="宋体"/>
          <w:color w:val="000000"/>
          <w:sz w:val="24"/>
          <w:szCs w:val="24"/>
        </w:rPr>
        <w:t>“自</w:t>
      </w:r>
      <w:r>
        <w:rPr>
          <w:rFonts w:hint="eastAsia" w:hAnsi="宋体"/>
          <w:color w:val="000000"/>
          <w:sz w:val="24"/>
          <w:szCs w:val="24"/>
        </w:rPr>
        <w:t>评价</w:t>
      </w:r>
      <w:r>
        <w:rPr>
          <w:rFonts w:hAnsi="宋体"/>
          <w:color w:val="000000"/>
          <w:sz w:val="24"/>
          <w:szCs w:val="24"/>
        </w:rPr>
        <w:t>结果”一栏应</w:t>
      </w:r>
      <w:r>
        <w:rPr>
          <w:rFonts w:hint="eastAsia" w:hAnsi="宋体"/>
          <w:color w:val="000000"/>
          <w:sz w:val="24"/>
          <w:szCs w:val="24"/>
        </w:rPr>
        <w:t>根据“评价要点”</w:t>
      </w:r>
      <w:r>
        <w:rPr>
          <w:rFonts w:hAnsi="宋体"/>
          <w:color w:val="000000"/>
          <w:sz w:val="24"/>
          <w:szCs w:val="24"/>
        </w:rPr>
        <w:t>进行自查，</w:t>
      </w:r>
      <w:r>
        <w:rPr>
          <w:rFonts w:hint="eastAsia" w:hAnsi="宋体"/>
          <w:color w:val="000000"/>
          <w:sz w:val="24"/>
          <w:szCs w:val="24"/>
        </w:rPr>
        <w:t>“</w:t>
      </w:r>
      <w:r>
        <w:rPr>
          <w:rFonts w:hAnsi="宋体"/>
          <w:color w:val="000000"/>
          <w:sz w:val="24"/>
          <w:szCs w:val="24"/>
        </w:rPr>
        <w:t>Y表示“符合”，N</w:t>
      </w:r>
      <w:r>
        <w:rPr>
          <w:rFonts w:hint="eastAsia" w:hAnsi="宋体"/>
          <w:color w:val="000000"/>
          <w:sz w:val="24"/>
          <w:szCs w:val="24"/>
        </w:rPr>
        <w:t>表示“不符合”，</w:t>
      </w:r>
      <w:r>
        <w:rPr>
          <w:rFonts w:hAnsi="宋体"/>
          <w:color w:val="000000"/>
          <w:sz w:val="24"/>
          <w:szCs w:val="24"/>
        </w:rPr>
        <w:t xml:space="preserve"> N/A表示“不适用”。</w:t>
      </w:r>
    </w:p>
    <w:p>
      <w:pPr>
        <w:pStyle w:val="6"/>
        <w:numPr>
          <w:ilvl w:val="0"/>
          <w:numId w:val="1"/>
        </w:numPr>
        <w:spacing w:line="240" w:lineRule="auto"/>
        <w:ind w:firstLine="600" w:firstLineChars="250"/>
        <w:rPr>
          <w:rFonts w:hAnsi="宋体"/>
          <w:color w:val="000000"/>
          <w:sz w:val="24"/>
          <w:szCs w:val="24"/>
          <w:highlight w:val="none"/>
        </w:rPr>
      </w:pPr>
      <w:r>
        <w:rPr>
          <w:rFonts w:hint="eastAsia" w:hAnsi="宋体"/>
          <w:color w:val="000000"/>
          <w:sz w:val="24"/>
          <w:szCs w:val="24"/>
          <w:highlight w:val="none"/>
        </w:rPr>
        <w:t>认证</w:t>
      </w:r>
      <w:r>
        <w:rPr>
          <w:rFonts w:hint="eastAsia" w:hAnsi="宋体"/>
          <w:color w:val="000000"/>
          <w:sz w:val="24"/>
          <w:szCs w:val="24"/>
          <w:highlight w:val="none"/>
          <w:lang w:eastAsia="zh-CN"/>
        </w:rPr>
        <w:t>委托</w:t>
      </w:r>
      <w:r>
        <w:rPr>
          <w:rFonts w:hint="eastAsia" w:hAnsi="宋体"/>
          <w:color w:val="000000"/>
          <w:sz w:val="24"/>
          <w:szCs w:val="24"/>
          <w:highlight w:val="none"/>
        </w:rPr>
        <w:t>方在自评价过程中，</w:t>
      </w:r>
      <w:r>
        <w:rPr>
          <w:rFonts w:hint="eastAsia" w:hAnsi="宋体"/>
          <w:b/>
          <w:bCs/>
          <w:color w:val="000000"/>
          <w:sz w:val="24"/>
          <w:szCs w:val="24"/>
          <w:highlight w:val="none"/>
        </w:rPr>
        <w:t>如对检测项符合情况有待确定、因自身的技术限制无法完成自评价或无法判断等情况，请在“</w:t>
      </w:r>
      <w:r>
        <w:rPr>
          <w:rFonts w:hint="eastAsia" w:hAnsi="宋体"/>
          <w:b/>
          <w:bCs/>
          <w:color w:val="000000"/>
          <w:sz w:val="24"/>
          <w:szCs w:val="24"/>
          <w:highlight w:val="none"/>
          <w:lang w:val="en-US" w:eastAsia="zh-CN"/>
        </w:rPr>
        <w:t>备注</w:t>
      </w:r>
      <w:r>
        <w:rPr>
          <w:rFonts w:hint="eastAsia" w:hAnsi="宋体"/>
          <w:b/>
          <w:bCs/>
          <w:color w:val="000000"/>
          <w:sz w:val="24"/>
          <w:szCs w:val="24"/>
          <w:highlight w:val="none"/>
        </w:rPr>
        <w:t>”栏中进行说明。</w:t>
      </w:r>
    </w:p>
    <w:p>
      <w:pPr>
        <w:pStyle w:val="6"/>
        <w:numPr>
          <w:ilvl w:val="0"/>
          <w:numId w:val="1"/>
        </w:numPr>
        <w:spacing w:line="240" w:lineRule="auto"/>
        <w:ind w:firstLine="600" w:firstLineChars="250"/>
        <w:rPr>
          <w:rFonts w:ascii="宋体" w:hAnsi="宋体"/>
          <w:color w:val="000000"/>
          <w:sz w:val="24"/>
          <w:szCs w:val="24"/>
        </w:rPr>
      </w:pPr>
      <w:r>
        <w:rPr>
          <w:rFonts w:hint="default" w:hAnsi="宋体"/>
          <w:color w:val="000000"/>
          <w:sz w:val="24"/>
          <w:szCs w:val="24"/>
        </w:rPr>
        <w:t>如</w:t>
      </w:r>
      <w:r>
        <w:rPr>
          <w:rFonts w:hint="default" w:hAnsi="宋体"/>
          <w:color w:val="000000"/>
          <w:sz w:val="24"/>
          <w:szCs w:val="24"/>
          <w:lang w:eastAsia="zh-CN"/>
        </w:rPr>
        <w:t>认证委托方</w:t>
      </w:r>
      <w:r>
        <w:rPr>
          <w:rFonts w:hAnsi="宋体"/>
          <w:color w:val="000000"/>
          <w:sz w:val="24"/>
          <w:szCs w:val="24"/>
        </w:rPr>
        <w:t>根据</w:t>
      </w:r>
      <w:r>
        <w:rPr>
          <w:rFonts w:hAnsi="宋体"/>
          <w:color w:val="000000"/>
          <w:kern w:val="0"/>
          <w:sz w:val="24"/>
          <w:szCs w:val="24"/>
        </w:rPr>
        <w:t>App</w:t>
      </w:r>
      <w:r>
        <w:rPr>
          <w:rFonts w:hAnsi="宋体"/>
          <w:color w:val="000000"/>
          <w:sz w:val="24"/>
          <w:szCs w:val="24"/>
        </w:rPr>
        <w:t>具体情况</w:t>
      </w:r>
      <w:r>
        <w:rPr>
          <w:rFonts w:hint="default" w:hAnsi="宋体"/>
          <w:b w:val="0"/>
          <w:bCs w:val="0"/>
          <w:color w:val="000000"/>
          <w:sz w:val="24"/>
          <w:szCs w:val="24"/>
        </w:rPr>
        <w:t>“自评价结果”为N</w:t>
      </w:r>
      <w:r>
        <w:rPr>
          <w:rFonts w:hAnsi="宋体"/>
          <w:b w:val="0"/>
          <w:bCs w:val="0"/>
          <w:color w:val="000000"/>
          <w:sz w:val="24"/>
          <w:szCs w:val="24"/>
        </w:rPr>
        <w:t>/A</w:t>
      </w:r>
      <w:r>
        <w:rPr>
          <w:rFonts w:hint="default" w:hAnsi="宋体"/>
          <w:b w:val="0"/>
          <w:bCs w:val="0"/>
          <w:color w:val="000000"/>
          <w:sz w:val="24"/>
          <w:szCs w:val="24"/>
        </w:rPr>
        <w:t>时，需在“备注”栏中进行</w:t>
      </w:r>
      <w:r>
        <w:rPr>
          <w:rFonts w:hAnsi="宋体"/>
          <w:b w:val="0"/>
          <w:bCs w:val="0"/>
          <w:color w:val="000000"/>
          <w:sz w:val="24"/>
          <w:szCs w:val="24"/>
        </w:rPr>
        <w:t>不适用说明</w:t>
      </w:r>
      <w:r>
        <w:rPr>
          <w:rFonts w:hAnsi="宋体"/>
          <w:color w:val="000000"/>
          <w:sz w:val="24"/>
          <w:szCs w:val="24"/>
        </w:rPr>
        <w:t>。</w:t>
      </w:r>
    </w:p>
    <w:tbl>
      <w:tblPr>
        <w:tblStyle w:val="5"/>
        <w:tblW w:w="14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61"/>
        <w:gridCol w:w="675"/>
        <w:gridCol w:w="3572"/>
        <w:gridCol w:w="5032"/>
        <w:gridCol w:w="1514"/>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blHeader/>
          <w:jc w:val="center"/>
        </w:trPr>
        <w:tc>
          <w:tcPr>
            <w:tcW w:w="1117" w:type="dxa"/>
            <w:shd w:val="clear" w:color="auto" w:fill="D9D9D9"/>
            <w:vAlign w:val="center"/>
          </w:tcPr>
          <w:p>
            <w:pPr>
              <w:pStyle w:val="6"/>
              <w:spacing w:line="360" w:lineRule="auto"/>
              <w:ind w:firstLine="0" w:firstLineChars="0"/>
              <w:rPr>
                <w:rFonts w:ascii="Times New Roman" w:hAnsi="Times New Roman"/>
                <w:b/>
                <w:bCs/>
              </w:rPr>
            </w:pPr>
            <w:r>
              <w:rPr>
                <w:rFonts w:hint="eastAsia" w:ascii="Times New Roman" w:hAnsi="Times New Roman"/>
                <w:b/>
                <w:bCs/>
              </w:rPr>
              <w:t>评价</w:t>
            </w:r>
            <w:r>
              <w:rPr>
                <w:rFonts w:ascii="Times New Roman" w:hAnsi="Times New Roman"/>
                <w:b/>
                <w:bCs/>
              </w:rPr>
              <w:t>类</w:t>
            </w:r>
            <w:r>
              <w:rPr>
                <w:rFonts w:hint="eastAsia" w:ascii="Times New Roman" w:hAnsi="Times New Roman"/>
                <w:b/>
                <w:bCs/>
              </w:rPr>
              <w:t>别</w:t>
            </w:r>
          </w:p>
        </w:tc>
        <w:tc>
          <w:tcPr>
            <w:tcW w:w="1161" w:type="dxa"/>
            <w:shd w:val="clear" w:color="auto" w:fill="D9D9D9"/>
            <w:vAlign w:val="center"/>
          </w:tcPr>
          <w:p>
            <w:pPr>
              <w:pStyle w:val="6"/>
              <w:spacing w:line="360" w:lineRule="auto"/>
              <w:ind w:firstLine="0" w:firstLineChars="0"/>
              <w:jc w:val="center"/>
              <w:rPr>
                <w:rFonts w:ascii="Times New Roman" w:hAnsi="Times New Roman"/>
                <w:b/>
                <w:bCs/>
              </w:rPr>
            </w:pPr>
            <w:r>
              <w:rPr>
                <w:rFonts w:hint="eastAsia" w:ascii="Times New Roman" w:hAnsi="Times New Roman"/>
                <w:b/>
                <w:bCs/>
              </w:rPr>
              <w:t>评价</w:t>
            </w:r>
            <w:r>
              <w:rPr>
                <w:rFonts w:ascii="Times New Roman" w:hAnsi="Times New Roman"/>
                <w:b/>
                <w:bCs/>
              </w:rPr>
              <w:t>子类</w:t>
            </w:r>
          </w:p>
        </w:tc>
        <w:tc>
          <w:tcPr>
            <w:tcW w:w="675" w:type="dxa"/>
            <w:shd w:val="clear" w:color="auto" w:fill="D9D9D9"/>
            <w:vAlign w:val="center"/>
          </w:tcPr>
          <w:p>
            <w:pPr>
              <w:pStyle w:val="6"/>
              <w:spacing w:line="360" w:lineRule="auto"/>
              <w:ind w:firstLine="0" w:firstLineChars="0"/>
              <w:jc w:val="center"/>
              <w:rPr>
                <w:rFonts w:hint="eastAsia" w:ascii="Times New Roman" w:hAnsi="Times New Roman" w:eastAsia="宋体"/>
                <w:b w:val="0"/>
                <w:bCs w:val="0"/>
                <w:lang w:val="en-US" w:eastAsia="zh-CN"/>
              </w:rPr>
            </w:pPr>
            <w:r>
              <w:rPr>
                <w:rFonts w:hint="eastAsia" w:ascii="Times New Roman" w:hAnsi="Times New Roman"/>
                <w:b/>
                <w:bCs/>
                <w:lang w:val="en-US" w:eastAsia="zh-CN"/>
              </w:rPr>
              <w:t>序号</w:t>
            </w:r>
          </w:p>
        </w:tc>
        <w:tc>
          <w:tcPr>
            <w:tcW w:w="3572" w:type="dxa"/>
            <w:shd w:val="clear" w:color="auto" w:fill="D9D9D9"/>
            <w:vAlign w:val="center"/>
          </w:tcPr>
          <w:p>
            <w:pPr>
              <w:pStyle w:val="6"/>
              <w:spacing w:line="360" w:lineRule="auto"/>
              <w:ind w:firstLine="198" w:firstLineChars="94"/>
              <w:jc w:val="center"/>
              <w:rPr>
                <w:rFonts w:ascii="Times New Roman" w:hAnsi="Times New Roman"/>
                <w:b/>
                <w:bCs/>
              </w:rPr>
            </w:pPr>
            <w:r>
              <w:rPr>
                <w:rFonts w:hint="eastAsia" w:ascii="Times New Roman" w:hAnsi="Times New Roman"/>
                <w:b/>
                <w:bCs/>
              </w:rPr>
              <w:t>评价</w:t>
            </w:r>
            <w:r>
              <w:rPr>
                <w:rFonts w:ascii="Times New Roman" w:hAnsi="Times New Roman"/>
                <w:b/>
                <w:bCs/>
              </w:rPr>
              <w:t>项</w:t>
            </w:r>
          </w:p>
        </w:tc>
        <w:tc>
          <w:tcPr>
            <w:tcW w:w="5032" w:type="dxa"/>
            <w:shd w:val="clear" w:color="auto" w:fill="D9D9D9"/>
            <w:vAlign w:val="center"/>
          </w:tcPr>
          <w:p>
            <w:pPr>
              <w:pStyle w:val="6"/>
              <w:spacing w:line="360" w:lineRule="auto"/>
              <w:ind w:firstLine="0" w:firstLineChars="0"/>
              <w:jc w:val="center"/>
              <w:rPr>
                <w:rFonts w:ascii="Times New Roman" w:hAnsi="Times New Roman"/>
                <w:b/>
                <w:bCs/>
              </w:rPr>
            </w:pPr>
            <w:r>
              <w:rPr>
                <w:rFonts w:hint="eastAsia" w:ascii="Times New Roman" w:hAnsi="Times New Roman"/>
                <w:b/>
                <w:bCs/>
              </w:rPr>
              <w:t>评价要点</w:t>
            </w:r>
          </w:p>
        </w:tc>
        <w:tc>
          <w:tcPr>
            <w:tcW w:w="1514" w:type="dxa"/>
            <w:shd w:val="clear" w:color="auto" w:fill="D9D9D9"/>
            <w:vAlign w:val="center"/>
          </w:tcPr>
          <w:p>
            <w:pPr>
              <w:pStyle w:val="6"/>
              <w:spacing w:line="360" w:lineRule="auto"/>
              <w:ind w:firstLine="0" w:firstLineChars="0"/>
              <w:jc w:val="center"/>
              <w:rPr>
                <w:rFonts w:ascii="Times New Roman" w:hAnsi="Times New Roman"/>
                <w:b/>
                <w:bCs/>
              </w:rPr>
            </w:pPr>
            <w:r>
              <w:rPr>
                <w:rFonts w:ascii="Times New Roman" w:hAnsi="Times New Roman"/>
                <w:b/>
                <w:bCs/>
              </w:rPr>
              <w:t>自</w:t>
            </w:r>
            <w:r>
              <w:rPr>
                <w:rFonts w:hint="eastAsia" w:ascii="Times New Roman" w:hAnsi="Times New Roman"/>
                <w:b/>
                <w:bCs/>
              </w:rPr>
              <w:t>评价</w:t>
            </w:r>
            <w:r>
              <w:rPr>
                <w:rFonts w:ascii="Times New Roman" w:hAnsi="Times New Roman"/>
                <w:b/>
                <w:bCs/>
              </w:rPr>
              <w:t>结果</w:t>
            </w:r>
          </w:p>
        </w:tc>
        <w:tc>
          <w:tcPr>
            <w:tcW w:w="1382" w:type="dxa"/>
            <w:shd w:val="clear" w:color="auto" w:fill="D9D9D9"/>
            <w:vAlign w:val="center"/>
          </w:tcPr>
          <w:p>
            <w:pPr>
              <w:pStyle w:val="6"/>
              <w:spacing w:line="360" w:lineRule="auto"/>
              <w:ind w:firstLine="0" w:firstLineChars="0"/>
              <w:jc w:val="center"/>
              <w:rPr>
                <w:rFonts w:ascii="Times New Roman" w:hAnsi="Times New Roman"/>
                <w:b/>
                <w:bCs/>
              </w:rPr>
            </w:pPr>
            <w:r>
              <w:rPr>
                <w:rFonts w:hint="eastAsia" w:ascii="Times New Roman" w:hAnsi="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117" w:type="dxa"/>
            <w:vMerge w:val="restart"/>
            <w:vAlign w:val="center"/>
          </w:tcPr>
          <w:p>
            <w:pPr>
              <w:pStyle w:val="6"/>
              <w:widowControl w:val="0"/>
              <w:ind w:firstLine="0" w:firstLineChars="0"/>
              <w:rPr>
                <w:rFonts w:ascii="Times New Roman"/>
                <w:b/>
                <w:szCs w:val="21"/>
              </w:rPr>
            </w:pPr>
            <w:r>
              <w:rPr>
                <w:rFonts w:hint="eastAsia" w:ascii="Times New Roman"/>
                <w:b/>
                <w:szCs w:val="21"/>
              </w:rPr>
              <w:t>移动终端</w:t>
            </w:r>
          </w:p>
          <w:p>
            <w:pPr>
              <w:pStyle w:val="6"/>
              <w:widowControl w:val="0"/>
              <w:ind w:firstLine="0" w:firstLineChars="0"/>
              <w:rPr>
                <w:rFonts w:ascii="Times New Roman"/>
                <w:b/>
                <w:szCs w:val="21"/>
              </w:rPr>
            </w:pPr>
            <w:r>
              <w:rPr>
                <w:rFonts w:hint="eastAsia" w:ascii="Times New Roman"/>
                <w:b/>
                <w:szCs w:val="21"/>
              </w:rPr>
              <w:t>安全</w:t>
            </w:r>
          </w:p>
        </w:tc>
        <w:tc>
          <w:tcPr>
            <w:tcW w:w="1161" w:type="dxa"/>
            <w:vMerge w:val="restart"/>
            <w:vAlign w:val="center"/>
          </w:tcPr>
          <w:p>
            <w:pPr>
              <w:jc w:val="center"/>
            </w:pPr>
            <w:r>
              <w:rPr>
                <w:rFonts w:hint="eastAsia"/>
              </w:rPr>
              <w:t>应用程序保护</w:t>
            </w: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防逆向。</w:t>
            </w:r>
            <w:r>
              <w:rPr>
                <w:rFonts w:hint="eastAsia" w:ascii="宋体" w:hAnsi="宋体" w:cs="宋体"/>
                <w:sz w:val="18"/>
                <w:szCs w:val="18"/>
              </w:rPr>
              <w:t>采取防动态调试、代码混淆、防逆向等技术对关键代码、核心逻辑进行保护</w:t>
            </w:r>
          </w:p>
        </w:tc>
        <w:tc>
          <w:tcPr>
            <w:tcW w:w="5032" w:type="dxa"/>
            <w:vAlign w:val="center"/>
          </w:tcPr>
          <w:p>
            <w:pPr>
              <w:pStyle w:val="6"/>
              <w:widowControl w:val="0"/>
              <w:tabs>
                <w:tab w:val="left" w:pos="1072"/>
              </w:tabs>
              <w:ind w:firstLine="0" w:firstLineChars="0"/>
              <w:jc w:val="left"/>
              <w:rPr>
                <w:rFonts w:hint="eastAsia" w:ascii="宋体" w:hAnsi="宋体" w:cs="宋体"/>
                <w:sz w:val="18"/>
                <w:szCs w:val="18"/>
              </w:rPr>
            </w:pPr>
            <w:r>
              <w:rPr>
                <w:rFonts w:hint="eastAsia" w:ascii="宋体" w:hAnsi="宋体" w:cs="宋体"/>
                <w:kern w:val="2"/>
                <w:sz w:val="18"/>
                <w:szCs w:val="18"/>
              </w:rPr>
              <w:t>移动互联网应用程序客户端及其安装包进行动态调试及反编译测试，检查移动互联网应用程序客户端是否采取防动态调试、代码混淆等确保程序的自身安全的有效措施。</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安全接口。</w:t>
            </w:r>
            <w:r>
              <w:rPr>
                <w:rFonts w:hint="eastAsia" w:ascii="宋体" w:hAnsi="宋体" w:cs="宋体"/>
                <w:sz w:val="18"/>
                <w:szCs w:val="18"/>
              </w:rPr>
              <w:t>不应设计有违反和绕过安全措施的任何类型的接口和开发文档中未说明的任何模式的接口</w:t>
            </w: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移动互联网应用程序的安全设计文档及检测移动互联网应用程序，查看移动互联网应用程序中是否有违反和绕过安全措施的任何类型的接口和设计文档中未说明的任何模式的接口</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color w:val="000000"/>
                <w:kern w:val="0"/>
                <w:sz w:val="18"/>
                <w:szCs w:val="18"/>
              </w:rPr>
              <w:t>输入保护。</w:t>
            </w:r>
            <w:r>
              <w:rPr>
                <w:rFonts w:hint="eastAsia" w:ascii="宋体" w:hAnsi="宋体" w:cs="宋体"/>
                <w:sz w:val="18"/>
                <w:szCs w:val="18"/>
              </w:rPr>
              <w:t>保障输入信息的机密性，如采取自定义键盘、随机键盘位、防范键盘窃听技术等措施</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开发文档是否具有敏感信息防截获的安全机制，其安全机制是否可行。</w:t>
            </w:r>
          </w:p>
        </w:tc>
        <w:tc>
          <w:tcPr>
            <w:tcW w:w="1514" w:type="dxa"/>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使用技术手段尝试是否可以截获用户输入的敏感数据。</w:t>
            </w:r>
          </w:p>
        </w:tc>
        <w:tc>
          <w:tcPr>
            <w:tcW w:w="1514" w:type="dxa"/>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sz w:val="18"/>
                <w:szCs w:val="18"/>
              </w:rPr>
              <w:t>输入校验。</w:t>
            </w:r>
            <w:r>
              <w:rPr>
                <w:rFonts w:hint="eastAsia" w:ascii="宋体" w:hAnsi="宋体" w:cs="宋体"/>
                <w:sz w:val="18"/>
                <w:szCs w:val="18"/>
              </w:rPr>
              <w:t>对输入信息的合法性进行识别</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开发文档中是否具有关于移动互联网应用程序客户端数据有效性校验的要求。</w:t>
            </w:r>
          </w:p>
        </w:tc>
        <w:tc>
          <w:tcPr>
            <w:tcW w:w="1514" w:type="dxa"/>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尝试输入异常字符，或修改人机接口或通信接口的部分字段，验证数据有效性校验功能是否生效。</w:t>
            </w:r>
          </w:p>
        </w:tc>
        <w:tc>
          <w:tcPr>
            <w:tcW w:w="1514" w:type="dxa"/>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外部资源授权。</w:t>
            </w:r>
            <w:r>
              <w:rPr>
                <w:rFonts w:hint="eastAsia" w:ascii="宋体" w:hAnsi="宋体" w:cs="宋体"/>
                <w:sz w:val="18"/>
                <w:szCs w:val="18"/>
              </w:rPr>
              <w:t>未得到用户许可前不应访问、修改、删除移动终端上与业务无关的数据</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移动互联网应用程序客户端在对移动终端上与个人信息相关的数据进行操作前，是否具有用户许可模块，并在许可描述中明确对所操作的相关资源、数据进行描述。</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授权提示。</w:t>
            </w:r>
            <w:r>
              <w:rPr>
                <w:rFonts w:hint="eastAsia" w:ascii="宋体" w:hAnsi="宋体" w:cs="宋体"/>
                <w:sz w:val="18"/>
                <w:szCs w:val="18"/>
              </w:rPr>
              <w:t>获取移动终端上其他权限，应以明显方式提示用户，包括但不限于图标、文字和声音提示等</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移动互联网应用程序客户端在获取终端系统上与个人信息相关权限过程中，是否以明显方式提示用户获取该权限的目的，包括但不限于图标、文字，声音提示等，并得到用户许可。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7</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完整性校验。</w:t>
            </w:r>
            <w:r>
              <w:rPr>
                <w:rFonts w:hint="eastAsia" w:ascii="宋体" w:hAnsi="宋体" w:cs="宋体"/>
                <w:sz w:val="18"/>
                <w:szCs w:val="18"/>
              </w:rPr>
              <w:t>具备完整性校验机制，防止被重签名和二次打包。关键的校验代码应得到保护</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尝试对移动互联网应用程序客户端的配置文件、运行库、可执行文件等内容进行篡改，并进行重签名和二次打包，检查移动互联网应用程序客户端是否具备完整性校验机制。</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8</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异常处理。</w:t>
            </w:r>
            <w:r>
              <w:rPr>
                <w:rFonts w:hint="eastAsia" w:ascii="宋体" w:hAnsi="宋体" w:cs="宋体"/>
                <w:sz w:val="18"/>
                <w:szCs w:val="18"/>
              </w:rPr>
              <w:t>出现异常时，应提示明确、易理解的业务操作信息，避免将程序代码错误直接返回给用户</w:t>
            </w:r>
          </w:p>
        </w:tc>
        <w:tc>
          <w:tcPr>
            <w:tcW w:w="5032" w:type="dxa"/>
            <w:vAlign w:val="center"/>
          </w:tcPr>
          <w:p>
            <w:pPr>
              <w:pStyle w:val="6"/>
              <w:widowControl w:val="0"/>
              <w:tabs>
                <w:tab w:val="left" w:pos="1072"/>
              </w:tabs>
              <w:ind w:firstLine="0" w:firstLineChars="0"/>
              <w:jc w:val="left"/>
              <w:rPr>
                <w:rFonts w:hint="eastAsia" w:ascii="宋体" w:hAnsi="宋体" w:cs="宋体"/>
                <w:sz w:val="18"/>
                <w:szCs w:val="18"/>
              </w:rPr>
            </w:pPr>
            <w:r>
              <w:rPr>
                <w:rFonts w:hint="eastAsia" w:ascii="宋体" w:hAnsi="宋体" w:cs="宋体"/>
                <w:sz w:val="18"/>
                <w:szCs w:val="18"/>
              </w:rPr>
              <w:t>移动互联网应用程序客户端或服务端在发生异常时，是否对客户端提示明确、易理解的业务操作信息，避免将程序代码错误直接返回给用户。</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移动终端环境</w:t>
            </w:r>
          </w:p>
        </w:tc>
        <w:tc>
          <w:tcPr>
            <w:tcW w:w="675" w:type="dxa"/>
            <w:vAlign w:val="center"/>
          </w:tcPr>
          <w:p>
            <w:pPr>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9</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运行环境安全。</w:t>
            </w:r>
            <w:r>
              <w:rPr>
                <w:rFonts w:hint="eastAsia" w:ascii="宋体" w:hAnsi="宋体" w:cs="宋体"/>
                <w:sz w:val="18"/>
                <w:szCs w:val="18"/>
              </w:rPr>
              <w:t>移动互联网应用程序应在每次运行前对运行环境安全性进行检测，提示发现的风险</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移动互联网应用程序客户端是否具备运行环境安全行检测功能，对诸如终端操作系统是否已被获取最高管理员权限、是否运行于虚拟环境等内容进行检测，并提示发现的风险。</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进程保护。</w:t>
            </w:r>
            <w:r>
              <w:rPr>
                <w:rFonts w:hint="eastAsia" w:ascii="宋体" w:hAnsi="宋体" w:cs="宋体"/>
                <w:sz w:val="18"/>
                <w:szCs w:val="18"/>
              </w:rPr>
              <w:t>移动互联网应用程序启动及运行过程，应采取相应的进程保护措施，防止非法程序获取该进程的访问权限</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kern w:val="2"/>
                <w:sz w:val="18"/>
                <w:szCs w:val="18"/>
              </w:rPr>
              <w:t>尝试使用进程注入等技术，试图获取移动互联网应用程序进程的访问权限，检验进程保护措施是否有效。</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11</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异常监测。</w:t>
            </w:r>
            <w:r>
              <w:rPr>
                <w:rFonts w:hint="eastAsia" w:ascii="宋体" w:hAnsi="宋体" w:cs="宋体"/>
                <w:sz w:val="18"/>
                <w:szCs w:val="18"/>
              </w:rPr>
              <w:t>应采取有效措施监测并向后台系统反馈移动终端环境安全状况并在必要时停止应用运行</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检查移动互联网应用程序采取了何种有效的移动终端环境安全状况监测措施，是否在必要时停止应用运行。</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安装与卸载</w:t>
            </w: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12</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安装确认。</w:t>
            </w:r>
            <w:r>
              <w:rPr>
                <w:rFonts w:hint="eastAsia" w:ascii="宋体" w:hAnsi="宋体" w:cs="宋体"/>
                <w:sz w:val="18"/>
                <w:szCs w:val="18"/>
              </w:rPr>
              <w:t>安装时应提示用户对其使用的终端资源（包含通信资源和外设接口）、终端权限和终端数据进行确认</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移动互联网应用程序客户端在安装或首次运行时，检查是否跳出提示窗口，让用户对其使用的终端资源（包含通信资源和外设接口）、终端系统权限和终端数据进行确认。</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13</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剩余信息保护。</w:t>
            </w:r>
            <w:r>
              <w:rPr>
                <w:rFonts w:hint="eastAsia" w:ascii="宋体" w:hAnsi="宋体" w:cs="宋体"/>
                <w:sz w:val="18"/>
                <w:szCs w:val="18"/>
              </w:rPr>
              <w:t>安装和使用过程中的缓存数据应能完全删除，且删除用户使用过程中生成的数据时应有提示</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移动互联网应用程序客户端卸载完成后，用户安装和使用过程中在移动终端设备产生的缓存数据是否已完全删除。</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14</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系统安全。</w:t>
            </w:r>
            <w:r>
              <w:rPr>
                <w:rFonts w:hint="eastAsia" w:ascii="宋体" w:hAnsi="宋体" w:cs="宋体"/>
                <w:sz w:val="18"/>
                <w:szCs w:val="18"/>
              </w:rPr>
              <w:t>不应影响终端操作系统和其他应用软件的功能</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移动互联网应用程序客户端是否植入了会影响移动终端操作系统和其它应用软件功能的恶意代码，包括但不限于：木马类、病毒类、后门类、僵尸类、间谍类等</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升级与更新</w:t>
            </w: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15</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完整性校验。</w:t>
            </w:r>
            <w:r>
              <w:rPr>
                <w:rFonts w:hint="eastAsia" w:ascii="宋体" w:hAnsi="宋体" w:cs="宋体"/>
                <w:sz w:val="18"/>
                <w:szCs w:val="18"/>
              </w:rPr>
              <w:t>在更新时应进行真实性和完整性校验，防范移动互联网应用程序被篡改或替换</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移动互联网应用程序客户端对更新源是否具有真实性校验措施，对安装包及更新内容（热更新方式）是否具有完整性校验措施。</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16</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更新推送。</w:t>
            </w:r>
            <w:r>
              <w:rPr>
                <w:rFonts w:hint="eastAsia" w:ascii="宋体" w:hAnsi="宋体" w:cs="宋体"/>
                <w:sz w:val="18"/>
                <w:szCs w:val="18"/>
              </w:rPr>
              <w:t>至少采取一种安全机制，保证升级的时效性，例如自动升级，更新通知等手段</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移动互联网应用程序客户端是否采取用户授权后自动升级、更新通知等手段，保证客户端升级的时效性。</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17</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强制更新。</w:t>
            </w:r>
            <w:r>
              <w:rPr>
                <w:rFonts w:hint="eastAsia" w:ascii="宋体" w:hAnsi="宋体" w:cs="宋体"/>
                <w:sz w:val="18"/>
                <w:szCs w:val="18"/>
              </w:rPr>
              <w:t>当因重大安全问题需要升级时，在应用市场允许的情况下能够强制用户升级后方可使用</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移动互联网应用程序服务端发起强制更新，并尝试使用旧版本移动互联网应用程序客户端访问应用系统，检查系统强制授权升级策略是否有效</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restart"/>
            <w:vAlign w:val="center"/>
          </w:tcPr>
          <w:p>
            <w:pPr>
              <w:pStyle w:val="6"/>
              <w:widowControl w:val="0"/>
              <w:ind w:firstLine="0" w:firstLineChars="0"/>
              <w:rPr>
                <w:rFonts w:ascii="Times New Roman"/>
                <w:b/>
                <w:szCs w:val="21"/>
              </w:rPr>
            </w:pPr>
            <w:r>
              <w:rPr>
                <w:rFonts w:hint="eastAsia" w:ascii="Times New Roman"/>
                <w:b/>
                <w:szCs w:val="21"/>
              </w:rPr>
              <w:t>身份鉴别</w:t>
            </w:r>
          </w:p>
        </w:tc>
        <w:tc>
          <w:tcPr>
            <w:tcW w:w="1161" w:type="dxa"/>
            <w:vMerge w:val="restart"/>
            <w:vAlign w:val="center"/>
          </w:tcPr>
          <w:p>
            <w:r>
              <w:rPr>
                <w:rFonts w:hint="eastAsia"/>
              </w:rPr>
              <w:t>鉴别方式</w:t>
            </w: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18</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二次认证。</w:t>
            </w:r>
            <w:r>
              <w:rPr>
                <w:rFonts w:hint="eastAsia" w:ascii="宋体" w:hAnsi="宋体" w:cs="宋体"/>
                <w:sz w:val="18"/>
                <w:szCs w:val="18"/>
              </w:rPr>
              <w:t>对于资金类交易、客户信息修改等关键业务，应增设二次认证的环节，且不应仅使用存放在移动客户端的本地信息进行认证。认证方式包括密码、生物特征、短信、令牌、图形手势等中的至少一种</w:t>
            </w:r>
          </w:p>
        </w:tc>
        <w:tc>
          <w:tcPr>
            <w:tcW w:w="5032" w:type="dxa"/>
            <w:vAlign w:val="center"/>
          </w:tcPr>
          <w:p>
            <w:pPr>
              <w:pStyle w:val="6"/>
              <w:widowControl w:val="0"/>
              <w:ind w:firstLine="0" w:firstLineChars="0"/>
              <w:jc w:val="left"/>
              <w:rPr>
                <w:rFonts w:hint="eastAsia" w:ascii="宋体" w:hAnsi="宋体" w:cs="宋体"/>
                <w:kern w:val="2"/>
                <w:sz w:val="18"/>
                <w:szCs w:val="18"/>
              </w:rPr>
            </w:pPr>
            <w:r>
              <w:rPr>
                <w:rFonts w:hint="eastAsia" w:ascii="宋体" w:hAnsi="宋体" w:cs="宋体"/>
                <w:kern w:val="2"/>
                <w:sz w:val="18"/>
                <w:szCs w:val="18"/>
              </w:rPr>
              <w:t>移动互联网应用程序初次认证后，是否在资金类交易、客户信息修改等关键业务处增设二次认证的环节，查看其认证方式。尝试替换移动客户端的信息绕过认证</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用户登记。</w:t>
            </w:r>
            <w:r>
              <w:rPr>
                <w:rFonts w:hint="eastAsia" w:ascii="宋体" w:hAnsi="宋体" w:cs="宋体"/>
                <w:sz w:val="18"/>
                <w:szCs w:val="18"/>
              </w:rPr>
              <w:t>若采用第三方移动互联网应用程序的认证方式，行业机构的移动互联网应用程序应再次进行用户名密码登记并核验</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若首次采用第三方移动互联网应用程序的认证方式，移动互联网应用程序是否再次进行用户名密码登记并核验</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20</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color w:val="000000"/>
                <w:kern w:val="0"/>
                <w:sz w:val="18"/>
                <w:szCs w:val="18"/>
              </w:rPr>
              <w:t>登录失败处理。</w:t>
            </w:r>
            <w:r>
              <w:rPr>
                <w:rFonts w:hint="eastAsia" w:ascii="宋体" w:hAnsi="宋体" w:cs="宋体"/>
                <w:sz w:val="18"/>
                <w:szCs w:val="18"/>
              </w:rPr>
              <w:t>应采取限定连续登录失败次数的措施，如设置登录失败次数上限、多次登录失败后的账户锁定策略等</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开发文档中是否提供移动互联网应用程序连续鉴别失败处理机制。</w:t>
            </w:r>
          </w:p>
        </w:tc>
        <w:tc>
          <w:tcPr>
            <w:tcW w:w="1514" w:type="dxa"/>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移动互联网应用程序在认证用户身份时，是否具备认证失败处理机制。</w:t>
            </w:r>
          </w:p>
        </w:tc>
        <w:tc>
          <w:tcPr>
            <w:tcW w:w="1514" w:type="dxa"/>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21</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color w:val="000000"/>
                <w:kern w:val="0"/>
                <w:sz w:val="18"/>
                <w:szCs w:val="18"/>
              </w:rPr>
              <w:t>登录超时。</w:t>
            </w:r>
            <w:r>
              <w:rPr>
                <w:rFonts w:hint="eastAsia" w:ascii="宋体" w:hAnsi="宋体" w:cs="宋体"/>
                <w:sz w:val="18"/>
                <w:szCs w:val="18"/>
              </w:rPr>
              <w:t>应具备登录超时锁定或注销功能，在设定的时间段内没有任何操作的情况下，终止登录会话，需要再次进行身份鉴别才能够重新操作</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开发文档中是否提供移动互联网应用程序登录会话超时重鉴别机制。</w:t>
            </w:r>
          </w:p>
        </w:tc>
        <w:tc>
          <w:tcPr>
            <w:tcW w:w="1514" w:type="dxa"/>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sz w:val="18"/>
                <w:szCs w:val="18"/>
              </w:rPr>
              <w:t>证券期货业移动互联网应用在登录会话超时后是否需再次进行身份鉴别。</w:t>
            </w:r>
          </w:p>
        </w:tc>
        <w:tc>
          <w:tcPr>
            <w:tcW w:w="1514" w:type="dxa"/>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鉴别数据保护</w:t>
            </w:r>
          </w:p>
        </w:tc>
        <w:tc>
          <w:tcPr>
            <w:tcW w:w="675" w:type="dxa"/>
            <w:vMerge w:val="restart"/>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22</w:t>
            </w:r>
          </w:p>
        </w:tc>
        <w:tc>
          <w:tcPr>
            <w:tcW w:w="3572" w:type="dxa"/>
            <w:vMerge w:val="restart"/>
            <w:vAlign w:val="center"/>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授权保护。</w:t>
            </w:r>
            <w:r>
              <w:rPr>
                <w:rFonts w:hint="eastAsia" w:ascii="宋体" w:hAnsi="宋体" w:cs="宋体"/>
                <w:color w:val="000000" w:themeColor="text1"/>
                <w:sz w:val="18"/>
                <w:szCs w:val="18"/>
                <w14:textFill>
                  <w14:solidFill>
                    <w14:schemeClr w14:val="tx1"/>
                  </w14:solidFill>
                </w14:textFill>
              </w:rPr>
              <w:t>不应未授权查阅或修改</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移动互联网应用程序是否存在未授权查阅或修改鉴别数据的功能，</w:t>
            </w:r>
          </w:p>
        </w:tc>
        <w:tc>
          <w:tcPr>
            <w:tcW w:w="1514" w:type="dxa"/>
            <w:vAlign w:val="center"/>
          </w:tcPr>
          <w:p>
            <w:pPr>
              <w:pStyle w:val="6"/>
              <w:widowControl w:val="0"/>
              <w:ind w:firstLine="0" w:firstLineChars="0"/>
              <w:rPr>
                <w:rFonts w:ascii="Times New Roman"/>
                <w:color w:val="0000FF"/>
                <w:sz w:val="18"/>
                <w:szCs w:val="18"/>
              </w:rPr>
            </w:pPr>
          </w:p>
        </w:tc>
        <w:tc>
          <w:tcPr>
            <w:tcW w:w="1382" w:type="dxa"/>
            <w:vMerge w:val="restart"/>
            <w:vAlign w:val="center"/>
          </w:tcPr>
          <w:p>
            <w:pPr>
              <w:pStyle w:val="6"/>
              <w:widowControl w:val="0"/>
              <w:ind w:firstLine="0" w:firstLineChars="0"/>
              <w:rPr>
                <w:rFonts w:hint="default" w:ascii="Times New Roman" w:eastAsia="宋体"/>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rPr>
                <w:color w:val="0000FF"/>
              </w:rPr>
            </w:pPr>
          </w:p>
        </w:tc>
        <w:tc>
          <w:tcPr>
            <w:tcW w:w="675" w:type="dxa"/>
            <w:vMerge w:val="continue"/>
            <w:vAlign w:val="center"/>
          </w:tcPr>
          <w:p>
            <w:pPr>
              <w:pStyle w:val="6"/>
              <w:widowControl w:val="0"/>
              <w:ind w:firstLine="0" w:firstLineChars="0"/>
              <w:jc w:val="center"/>
              <w:rPr>
                <w:rFonts w:hint="eastAsia" w:hAnsi="宋体" w:cs="宋体"/>
                <w:b w:val="0"/>
                <w:bCs w:val="0"/>
                <w:color w:val="000000" w:themeColor="text1"/>
                <w:sz w:val="18"/>
                <w:szCs w:val="18"/>
                <w14:textFill>
                  <w14:solidFill>
                    <w14:schemeClr w14:val="tx1"/>
                  </w14:solidFill>
                </w14:textFill>
              </w:rPr>
            </w:pPr>
          </w:p>
        </w:tc>
        <w:tc>
          <w:tcPr>
            <w:tcW w:w="3572" w:type="dxa"/>
            <w:vMerge w:val="continue"/>
            <w:vAlign w:val="center"/>
          </w:tcPr>
          <w:p>
            <w:pPr>
              <w:pStyle w:val="6"/>
              <w:widowControl w:val="0"/>
              <w:ind w:firstLine="0" w:firstLineChars="0"/>
              <w:jc w:val="left"/>
              <w:rPr>
                <w:rFonts w:hint="eastAsia" w:hAnsi="宋体" w:cs="宋体"/>
                <w:color w:val="000000" w:themeColor="text1"/>
                <w:sz w:val="18"/>
                <w:szCs w:val="18"/>
                <w14:textFill>
                  <w14:solidFill>
                    <w14:schemeClr w14:val="tx1"/>
                  </w14:solidFill>
                </w14:textFill>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移动互联网应用程序是否在查阅或修改鉴别数据时需要进行二次身份鉴别。</w:t>
            </w:r>
          </w:p>
        </w:tc>
        <w:tc>
          <w:tcPr>
            <w:tcW w:w="1514" w:type="dxa"/>
            <w:vAlign w:val="center"/>
          </w:tcPr>
          <w:p>
            <w:pPr>
              <w:pStyle w:val="6"/>
              <w:widowControl w:val="0"/>
              <w:ind w:firstLine="0" w:firstLineChars="0"/>
              <w:rPr>
                <w:rFonts w:ascii="Times New Roman"/>
                <w:color w:val="0000FF"/>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pPr>
              <w:rPr>
                <w:color w:val="0000FF"/>
              </w:rPr>
            </w:pPr>
          </w:p>
        </w:tc>
        <w:tc>
          <w:tcPr>
            <w:tcW w:w="675" w:type="dxa"/>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23</w:t>
            </w:r>
          </w:p>
        </w:tc>
        <w:tc>
          <w:tcPr>
            <w:tcW w:w="3572" w:type="dxa"/>
            <w:vAlign w:val="center"/>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用户提醒。</w:t>
            </w:r>
            <w:r>
              <w:rPr>
                <w:rFonts w:hint="eastAsia" w:ascii="宋体" w:hAnsi="宋体" w:cs="宋体"/>
                <w:color w:val="000000" w:themeColor="text1"/>
                <w:sz w:val="18"/>
                <w:szCs w:val="18"/>
                <w14:textFill>
                  <w14:solidFill>
                    <w14:schemeClr w14:val="tx1"/>
                  </w14:solidFill>
                </w14:textFill>
              </w:rPr>
              <w:t>对于资金类交易、客户信息修改等关键业务宜通过短信等多媒体方式对用户进行提醒</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移动互联网应用程序中关于资金类交易（如转账等）、客户信息修改等关键业务的功能模块，并进行相关业务操作，查看是否能够通过短信等多媒体方式对用户进行提醒。</w:t>
            </w:r>
          </w:p>
        </w:tc>
        <w:tc>
          <w:tcPr>
            <w:tcW w:w="1514" w:type="dxa"/>
            <w:vAlign w:val="center"/>
          </w:tcPr>
          <w:p>
            <w:pPr>
              <w:pStyle w:val="6"/>
              <w:widowControl w:val="0"/>
              <w:ind w:firstLine="0" w:firstLineChars="0"/>
              <w:rPr>
                <w:rFonts w:ascii="Times New Roman"/>
                <w:color w:val="0000FF"/>
                <w:sz w:val="18"/>
                <w:szCs w:val="18"/>
              </w:rPr>
            </w:pPr>
          </w:p>
        </w:tc>
        <w:tc>
          <w:tcPr>
            <w:tcW w:w="1382" w:type="dxa"/>
            <w:vAlign w:val="center"/>
          </w:tcPr>
          <w:p>
            <w:pPr>
              <w:pStyle w:val="6"/>
              <w:widowControl w:val="0"/>
              <w:ind w:firstLine="0" w:firstLineChars="0"/>
              <w:rPr>
                <w:rFonts w:hint="eastAsia"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pPr>
              <w:rPr>
                <w:color w:val="0000FF"/>
              </w:rPr>
            </w:pPr>
          </w:p>
        </w:tc>
        <w:tc>
          <w:tcPr>
            <w:tcW w:w="675" w:type="dxa"/>
            <w:vMerge w:val="restart"/>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24</w:t>
            </w:r>
          </w:p>
        </w:tc>
        <w:tc>
          <w:tcPr>
            <w:tcW w:w="3572" w:type="dxa"/>
            <w:vMerge w:val="restart"/>
            <w:vAlign w:val="center"/>
          </w:tcPr>
          <w:p>
            <w:pPr>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身份绑定。</w:t>
            </w:r>
            <w:r>
              <w:rPr>
                <w:rFonts w:hint="eastAsia" w:ascii="宋体" w:hAnsi="宋体" w:cs="宋体"/>
                <w:color w:val="000000" w:themeColor="text1"/>
                <w:sz w:val="18"/>
                <w:szCs w:val="18"/>
                <w14:textFill>
                  <w14:solidFill>
                    <w14:schemeClr w14:val="tx1"/>
                  </w14:solidFill>
                </w14:textFill>
              </w:rPr>
              <w:t>身份认证绑定对象为用户身份信息，不局限移动终端的设备单一信息</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移动互联网应用程序身份认证时（如用户注册）绑定对象是否为用户身份信息。</w:t>
            </w:r>
          </w:p>
        </w:tc>
        <w:tc>
          <w:tcPr>
            <w:tcW w:w="1514" w:type="dxa"/>
            <w:vAlign w:val="center"/>
          </w:tcPr>
          <w:p>
            <w:pPr>
              <w:pStyle w:val="6"/>
              <w:widowControl w:val="0"/>
              <w:ind w:firstLine="0" w:firstLineChars="0"/>
              <w:rPr>
                <w:rFonts w:ascii="Times New Roman"/>
                <w:color w:val="0000FF"/>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rPr>
                <w:color w:val="0000FF"/>
              </w:rPr>
            </w:pPr>
          </w:p>
        </w:tc>
        <w:tc>
          <w:tcPr>
            <w:tcW w:w="675" w:type="dxa"/>
            <w:vMerge w:val="continue"/>
            <w:vAlign w:val="center"/>
          </w:tcPr>
          <w:p>
            <w:pPr>
              <w:pStyle w:val="6"/>
              <w:widowControl w:val="0"/>
              <w:ind w:firstLine="0" w:firstLineChars="0"/>
              <w:jc w:val="center"/>
              <w:rPr>
                <w:rFonts w:hint="eastAsia" w:hAnsi="宋体" w:cs="宋体"/>
                <w:b w:val="0"/>
                <w:bCs w:val="0"/>
                <w:color w:val="000000" w:themeColor="text1"/>
                <w:sz w:val="18"/>
                <w:szCs w:val="18"/>
                <w14:textFill>
                  <w14:solidFill>
                    <w14:schemeClr w14:val="tx1"/>
                  </w14:solidFill>
                </w14:textFill>
              </w:rPr>
            </w:pPr>
          </w:p>
        </w:tc>
        <w:tc>
          <w:tcPr>
            <w:tcW w:w="3572" w:type="dxa"/>
            <w:vMerge w:val="continue"/>
            <w:vAlign w:val="center"/>
          </w:tcPr>
          <w:p>
            <w:pPr>
              <w:pStyle w:val="6"/>
              <w:widowControl w:val="0"/>
              <w:ind w:firstLine="0" w:firstLineChars="0"/>
              <w:jc w:val="left"/>
              <w:rPr>
                <w:rFonts w:hint="eastAsia" w:hAnsi="宋体" w:cs="宋体"/>
                <w:color w:val="000000" w:themeColor="text1"/>
                <w:sz w:val="18"/>
                <w:szCs w:val="18"/>
                <w14:textFill>
                  <w14:solidFill>
                    <w14:schemeClr w14:val="tx1"/>
                  </w14:solidFill>
                </w14:textFill>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同一用户身份信息是否可注册多个用户。</w:t>
            </w:r>
          </w:p>
        </w:tc>
        <w:tc>
          <w:tcPr>
            <w:tcW w:w="1514" w:type="dxa"/>
            <w:vAlign w:val="center"/>
          </w:tcPr>
          <w:p>
            <w:pPr>
              <w:pStyle w:val="6"/>
              <w:widowControl w:val="0"/>
              <w:ind w:firstLine="0" w:firstLineChars="0"/>
              <w:rPr>
                <w:rFonts w:ascii="Times New Roman"/>
                <w:color w:val="0000FF"/>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密码安全</w:t>
            </w: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25</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存储安全。</w:t>
            </w:r>
            <w:r>
              <w:rPr>
                <w:rFonts w:hint="eastAsia" w:ascii="宋体" w:hAnsi="宋体" w:cs="宋体"/>
                <w:sz w:val="18"/>
                <w:szCs w:val="18"/>
              </w:rPr>
              <w:t>密码不应以任何形式明文保存在移动终端的本地存储上</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color w:val="000000" w:themeColor="text1"/>
                <w:sz w:val="18"/>
                <w:szCs w:val="18"/>
                <w14:textFill>
                  <w14:solidFill>
                    <w14:schemeClr w14:val="tx1"/>
                  </w14:solidFill>
                </w14:textFill>
              </w:rPr>
              <w:t>移动互联网应用程序是否将密码明文保存在移动终端的本地存储上。</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26</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color w:val="000000"/>
                <w:kern w:val="0"/>
                <w:sz w:val="18"/>
                <w:szCs w:val="18"/>
              </w:rPr>
              <w:t>传输安全。</w:t>
            </w:r>
            <w:r>
              <w:rPr>
                <w:rFonts w:hint="eastAsia" w:ascii="宋体" w:hAnsi="宋体" w:cs="宋体"/>
                <w:sz w:val="18"/>
                <w:szCs w:val="18"/>
              </w:rPr>
              <w:t>密码在传输过程中不应以明文的形式传输，宜采用国密算法或国际数据加密算法</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移动互联网应用程序在与服务器的通信过程中是否对密码进行加密处理。</w:t>
            </w:r>
          </w:p>
        </w:tc>
        <w:tc>
          <w:tcPr>
            <w:tcW w:w="1514" w:type="dxa"/>
            <w:vMerge w:val="restart"/>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采用的加密算法是否符合国家密码主管部门认可的密码算法。</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27</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残留信息保护。</w:t>
            </w:r>
            <w:r>
              <w:rPr>
                <w:rFonts w:hint="eastAsia" w:ascii="宋体" w:hAnsi="宋体" w:cs="宋体"/>
                <w:sz w:val="18"/>
                <w:szCs w:val="18"/>
              </w:rPr>
              <w:t>密码禁止在缓存和日志中输出</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移动移动互联网应用程序的缓存和日志信息，查看是否存在密码和密钥信息。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28</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安全输入。</w:t>
            </w:r>
            <w:r>
              <w:rPr>
                <w:rFonts w:hint="eastAsia" w:ascii="宋体" w:hAnsi="宋体" w:cs="宋体"/>
                <w:sz w:val="18"/>
                <w:szCs w:val="18"/>
              </w:rPr>
              <w:t>输入密码信息时应采取技术措施防止密码被盗取</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开发文档中，移动互联网应用程序是否提供技术措施防止密码被盗取。</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移动互联网应用程序在输入密码信息时是否可防截屏操作。</w:t>
            </w:r>
          </w:p>
        </w:tc>
        <w:tc>
          <w:tcPr>
            <w:tcW w:w="1514"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1117"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161"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675" w:type="dxa"/>
            <w:vMerge w:val="continue"/>
            <w:vAlign w:val="center"/>
          </w:tcPr>
          <w:p>
            <w:pPr>
              <w:pStyle w:val="6"/>
              <w:widowControl w:val="0"/>
              <w:ind w:firstLine="0" w:firstLineChars="0"/>
              <w:jc w:val="center"/>
              <w:rPr>
                <w:rFonts w:hint="eastAsia" w:ascii="宋体" w:hAnsi="宋体" w:cs="宋体"/>
                <w:b w:val="0"/>
                <w:bCs w:val="0"/>
                <w:color w:val="000000" w:themeColor="text1"/>
                <w:sz w:val="18"/>
                <w:szCs w:val="18"/>
                <w14:textFill>
                  <w14:solidFill>
                    <w14:schemeClr w14:val="tx1"/>
                  </w14:solidFill>
                </w14:textFill>
              </w:rPr>
            </w:pPr>
          </w:p>
        </w:tc>
        <w:tc>
          <w:tcPr>
            <w:tcW w:w="3572" w:type="dxa"/>
            <w:vMerge w:val="continue"/>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移动互联网应用程序在输入密码信息时是否可防信息截获。</w:t>
            </w:r>
          </w:p>
        </w:tc>
        <w:tc>
          <w:tcPr>
            <w:tcW w:w="1514"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29</w:t>
            </w:r>
          </w:p>
        </w:tc>
        <w:tc>
          <w:tcPr>
            <w:tcW w:w="3572" w:type="dxa"/>
            <w:vAlign w:val="center"/>
          </w:tcPr>
          <w:p>
            <w:pPr>
              <w:jc w:val="left"/>
              <w:rPr>
                <w:rFonts w:hint="eastAsia" w:ascii="宋体" w:hAnsi="宋体" w:cs="宋体"/>
                <w:sz w:val="18"/>
                <w:szCs w:val="18"/>
              </w:rPr>
            </w:pPr>
            <w:r>
              <w:rPr>
                <w:rFonts w:hint="eastAsia" w:ascii="宋体" w:hAnsi="宋体" w:cs="宋体"/>
                <w:b/>
                <w:bCs/>
                <w:sz w:val="18"/>
                <w:szCs w:val="18"/>
              </w:rPr>
              <w:t>密码</w:t>
            </w:r>
            <w:r>
              <w:rPr>
                <w:rFonts w:hint="eastAsia" w:ascii="宋体" w:hAnsi="宋体" w:cs="宋体"/>
                <w:b/>
                <w:bCs/>
                <w:color w:val="000000"/>
                <w:kern w:val="0"/>
                <w:sz w:val="18"/>
                <w:szCs w:val="18"/>
              </w:rPr>
              <w:t>显示。</w:t>
            </w:r>
            <w:r>
              <w:rPr>
                <w:rFonts w:hint="eastAsia" w:ascii="宋体" w:hAnsi="宋体" w:cs="宋体"/>
                <w:sz w:val="18"/>
                <w:szCs w:val="18"/>
              </w:rPr>
              <w:t>密码输入框默认禁止明文显示密码</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移动互联网应用程序在密码展示处，是否默认以非明文的方式显示密码。</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30</w:t>
            </w:r>
          </w:p>
        </w:tc>
        <w:tc>
          <w:tcPr>
            <w:tcW w:w="3572" w:type="dxa"/>
            <w:vMerge w:val="restart"/>
            <w:vAlign w:val="center"/>
          </w:tcPr>
          <w:p>
            <w:pPr>
              <w:jc w:val="left"/>
              <w:rPr>
                <w:rFonts w:hint="eastAsia" w:ascii="宋体" w:hAnsi="宋体" w:cs="宋体"/>
                <w:sz w:val="18"/>
                <w:szCs w:val="18"/>
              </w:rPr>
            </w:pPr>
            <w:r>
              <w:rPr>
                <w:rFonts w:hint="eastAsia" w:ascii="宋体" w:hAnsi="宋体" w:cs="宋体"/>
                <w:b/>
                <w:bCs/>
                <w:sz w:val="18"/>
                <w:szCs w:val="18"/>
              </w:rPr>
              <w:t>密码</w:t>
            </w:r>
            <w:r>
              <w:rPr>
                <w:rFonts w:hint="eastAsia" w:ascii="宋体" w:hAnsi="宋体" w:cs="宋体"/>
                <w:b/>
                <w:bCs/>
                <w:color w:val="000000"/>
                <w:kern w:val="0"/>
                <w:sz w:val="18"/>
                <w:szCs w:val="18"/>
              </w:rPr>
              <w:t>复杂度。</w:t>
            </w:r>
            <w:r>
              <w:rPr>
                <w:rFonts w:hint="eastAsia" w:ascii="宋体" w:hAnsi="宋体" w:cs="宋体"/>
                <w:sz w:val="18"/>
                <w:szCs w:val="18"/>
              </w:rPr>
              <w:t>应提供密码复杂度检查功能，防止用户设置易于猜测的密码</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开发文档中，移动互联网应用程序是否提供密码复杂度校验功能</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移动互联网应用程序在密码设置处是否提供密码复杂度校验功能，是否能够设置易于猜测的密码。</w:t>
            </w:r>
          </w:p>
        </w:tc>
        <w:tc>
          <w:tcPr>
            <w:tcW w:w="1514"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31</w:t>
            </w:r>
          </w:p>
        </w:tc>
        <w:tc>
          <w:tcPr>
            <w:tcW w:w="3572" w:type="dxa"/>
            <w:vAlign w:val="center"/>
          </w:tcPr>
          <w:p>
            <w:pPr>
              <w:jc w:val="left"/>
              <w:rPr>
                <w:rFonts w:hint="eastAsia" w:ascii="宋体" w:hAnsi="宋体" w:cs="宋体"/>
                <w:sz w:val="18"/>
                <w:szCs w:val="18"/>
              </w:rPr>
            </w:pPr>
            <w:r>
              <w:rPr>
                <w:rFonts w:hint="eastAsia" w:ascii="宋体" w:hAnsi="宋体" w:cs="宋体"/>
                <w:b/>
                <w:bCs/>
                <w:sz w:val="18"/>
                <w:szCs w:val="18"/>
              </w:rPr>
              <w:t>密码</w:t>
            </w:r>
            <w:r>
              <w:rPr>
                <w:rFonts w:hint="eastAsia" w:ascii="宋体" w:hAnsi="宋体" w:cs="宋体"/>
                <w:b/>
                <w:bCs/>
                <w:color w:val="000000"/>
                <w:kern w:val="0"/>
                <w:sz w:val="18"/>
                <w:szCs w:val="18"/>
              </w:rPr>
              <w:t>修改。</w:t>
            </w:r>
            <w:r>
              <w:rPr>
                <w:rFonts w:hint="eastAsia" w:ascii="宋体" w:hAnsi="宋体" w:cs="宋体"/>
                <w:sz w:val="18"/>
                <w:szCs w:val="18"/>
              </w:rPr>
              <w:t>应在对密码进行修改前验证用户身份</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移动互联网应用程序的修改密码功能，检查是否程序采取相应的安全措施（如验证旧密码、获取短信验证码等方式）对用户身份进行验证。</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restart"/>
            <w:vAlign w:val="center"/>
          </w:tcPr>
          <w:p>
            <w:pPr>
              <w:pStyle w:val="6"/>
              <w:widowControl w:val="0"/>
              <w:ind w:firstLine="0" w:firstLineChars="0"/>
              <w:rPr>
                <w:rFonts w:ascii="Times New Roman"/>
                <w:b/>
                <w:szCs w:val="21"/>
              </w:rPr>
            </w:pPr>
            <w:r>
              <w:rPr>
                <w:rFonts w:hint="eastAsia" w:ascii="Times New Roman"/>
                <w:b/>
                <w:szCs w:val="21"/>
              </w:rPr>
              <w:t>网络通信安全</w:t>
            </w:r>
          </w:p>
        </w:tc>
        <w:tc>
          <w:tcPr>
            <w:tcW w:w="1161" w:type="dxa"/>
            <w:vMerge w:val="restart"/>
            <w:vAlign w:val="center"/>
          </w:tcPr>
          <w:p>
            <w:r>
              <w:rPr>
                <w:rFonts w:hint="eastAsia"/>
              </w:rPr>
              <w:t>通讯协议</w:t>
            </w: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32</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安全协议。</w:t>
            </w:r>
            <w:r>
              <w:rPr>
                <w:rFonts w:hint="eastAsia" w:ascii="宋体" w:hAnsi="宋体" w:cs="宋体"/>
                <w:sz w:val="18"/>
                <w:szCs w:val="18"/>
              </w:rPr>
              <w:t>应采用安全的通信协议和加密算法，敏感数据传输时应对服务端证书的合法性进行校验</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移动互联网应用程序与服务器是否正确配置安全通信协议，在敏感数据传输时是否对服务端证书的合法性进行校验。</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33</w:t>
            </w:r>
          </w:p>
        </w:tc>
        <w:tc>
          <w:tcPr>
            <w:tcW w:w="3572" w:type="dxa"/>
            <w:vAlign w:val="center"/>
          </w:tcPr>
          <w:p>
            <w:pPr>
              <w:jc w:val="left"/>
              <w:rPr>
                <w:rFonts w:hint="eastAsia" w:ascii="宋体" w:hAnsi="宋体" w:cs="宋体"/>
                <w:sz w:val="18"/>
                <w:szCs w:val="18"/>
              </w:rPr>
            </w:pPr>
            <w:r>
              <w:rPr>
                <w:rFonts w:hint="eastAsia" w:ascii="宋体" w:hAnsi="宋体" w:cs="宋体"/>
                <w:b/>
                <w:bCs/>
                <w:color w:val="000000"/>
                <w:kern w:val="0"/>
                <w:sz w:val="18"/>
                <w:szCs w:val="18"/>
              </w:rPr>
              <w:t>安全版本。</w:t>
            </w:r>
            <w:r>
              <w:rPr>
                <w:rFonts w:hint="eastAsia" w:ascii="宋体" w:hAnsi="宋体" w:cs="宋体"/>
                <w:sz w:val="18"/>
                <w:szCs w:val="18"/>
              </w:rPr>
              <w:t>应使用通讯协议的安全版本，取消对存在安全隐患版本协议的支持</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移动互联网应用程序与服务器是否采用安全的通信协议，检查通信协议不应支持存在安全问题的通信协议。</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34</w:t>
            </w:r>
          </w:p>
        </w:tc>
        <w:tc>
          <w:tcPr>
            <w:tcW w:w="3572" w:type="dxa"/>
            <w:vMerge w:val="restart"/>
            <w:vAlign w:val="center"/>
          </w:tcPr>
          <w:p>
            <w:pPr>
              <w:widowControl/>
              <w:jc w:val="left"/>
              <w:rPr>
                <w:rFonts w:hint="eastAsia" w:ascii="宋体" w:hAnsi="宋体" w:cs="宋体"/>
                <w:sz w:val="18"/>
                <w:szCs w:val="18"/>
              </w:rPr>
            </w:pPr>
            <w:r>
              <w:rPr>
                <w:rFonts w:hint="eastAsia" w:ascii="宋体" w:hAnsi="宋体" w:cs="宋体"/>
                <w:b/>
                <w:bCs/>
                <w:color w:val="000000"/>
                <w:kern w:val="0"/>
                <w:sz w:val="18"/>
                <w:szCs w:val="18"/>
              </w:rPr>
              <w:t>密码安全。</w:t>
            </w:r>
            <w:r>
              <w:rPr>
                <w:rFonts w:hint="eastAsia" w:ascii="宋体" w:hAnsi="宋体" w:cs="宋体"/>
                <w:sz w:val="18"/>
                <w:szCs w:val="18"/>
              </w:rPr>
              <w:t>应使用国家密码主管部门认可的安全加密算法和密钥长度</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检查开发文档，了解移动互联网应用程序使用的加密算法和密钥长度。</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移动互联网应用程序与服务器重要通信过程和重要存储过程中使用的加密算法和密钥长度是否符合国家密码主管部门和证券期货业主管部门要求。</w:t>
            </w:r>
          </w:p>
        </w:tc>
        <w:tc>
          <w:tcPr>
            <w:tcW w:w="1514"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会话管理</w:t>
            </w:r>
          </w:p>
        </w:tc>
        <w:tc>
          <w:tcPr>
            <w:tcW w:w="675" w:type="dxa"/>
            <w:vMerge w:val="restart"/>
            <w:vAlign w:val="top"/>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35</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缓存信息保护。</w:t>
            </w:r>
            <w:r>
              <w:rPr>
                <w:rFonts w:hint="eastAsia" w:ascii="宋体" w:hAnsi="宋体" w:cs="宋体"/>
                <w:color w:val="000000" w:themeColor="text1"/>
                <w:kern w:val="0"/>
                <w:sz w:val="18"/>
                <w:szCs w:val="18"/>
                <w14:textFill>
                  <w14:solidFill>
                    <w14:schemeClr w14:val="tx1"/>
                  </w14:solidFill>
                </w14:textFill>
              </w:rPr>
              <w:t>会</w:t>
            </w:r>
            <w:r>
              <w:rPr>
                <w:rFonts w:hint="eastAsia" w:ascii="宋体" w:hAnsi="宋体" w:cs="宋体"/>
                <w:sz w:val="18"/>
                <w:szCs w:val="18"/>
              </w:rPr>
              <w:t>话结束后应立即清除敏感数据缓存，防止信息泄露</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开发文档中，移动互联网应用程序在会话结束后是否有清除敏感数据缓存的措施。</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top"/>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移动互联网应用程序在会话结束后是否立即清除敏感数据缓存。</w:t>
            </w:r>
          </w:p>
        </w:tc>
        <w:tc>
          <w:tcPr>
            <w:tcW w:w="1514"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36</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安全提示。</w:t>
            </w:r>
            <w:r>
              <w:rPr>
                <w:rFonts w:hint="eastAsia" w:ascii="宋体" w:hAnsi="宋体" w:cs="宋体"/>
                <w:color w:val="000000" w:themeColor="text1"/>
                <w:kern w:val="0"/>
                <w:sz w:val="18"/>
                <w:szCs w:val="18"/>
                <w14:textFill>
                  <w14:solidFill>
                    <w14:schemeClr w14:val="tx1"/>
                  </w14:solidFill>
                </w14:textFill>
              </w:rPr>
              <w:t>在不同移动终端上登录时应向用户进行信息提示</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开发文档中，移动互联网应用程序是否具备不同移动终端上登录的用户提示措施。</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使用不同终端登录移动互联网应用程序，检查程序是否向用户进行信息提示。</w:t>
            </w:r>
          </w:p>
        </w:tc>
        <w:tc>
          <w:tcPr>
            <w:tcW w:w="1514"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c>
          <w:tcPr>
            <w:tcW w:w="1382" w:type="dxa"/>
            <w:vMerge w:val="continue"/>
            <w:vAlign w:val="center"/>
          </w:tcPr>
          <w:p>
            <w:pPr>
              <w:pStyle w:val="6"/>
              <w:widowControl w:val="0"/>
              <w:ind w:firstLine="0" w:firstLineChars="0"/>
              <w:rPr>
                <w:rFonts w:asci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37</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会话鉴别。</w:t>
            </w:r>
            <w:r>
              <w:rPr>
                <w:rFonts w:hint="eastAsia" w:ascii="宋体" w:hAnsi="宋体" w:cs="宋体"/>
                <w:color w:val="000000" w:themeColor="text1"/>
                <w:kern w:val="0"/>
                <w:sz w:val="18"/>
                <w:szCs w:val="18"/>
                <w14:textFill>
                  <w14:solidFill>
                    <w14:schemeClr w14:val="tx1"/>
                  </w14:solidFill>
                </w14:textFill>
              </w:rPr>
              <w:t>登录完成后的会话管理阶段的所有请求都需要对用户的合法身份进行鉴别，鉴别通过后才能进行操作</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服务端是否对登录完成后的会话管理阶段的所有请求进行合法身份鉴别（如token方式）。</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删除身份鉴别信息和替换无权限用户的鉴别信息进行请求。</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38</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会话保护。</w:t>
            </w:r>
            <w:r>
              <w:rPr>
                <w:rFonts w:hint="eastAsia" w:ascii="宋体" w:hAnsi="宋体" w:cs="宋体"/>
                <w:color w:val="000000" w:themeColor="text1"/>
                <w:kern w:val="0"/>
                <w:sz w:val="18"/>
                <w:szCs w:val="18"/>
                <w14:textFill>
                  <w14:solidFill>
                    <w14:schemeClr w14:val="tx1"/>
                  </w14:solidFill>
                </w14:textFill>
              </w:rPr>
              <w:t>应采取会话保护措施，防止软件与后台服务器之间的会话被窃听、篡改、伪造、重放等</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通过网络层截包分析等方式获取通信报文，查看程序与后台服务器之间的会话是否采取加密等保护措施。</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在应用层尝试获取会话信息，获取后进行篡改和伪造，查看服务器后台是否响应该非法报文。</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1117" w:type="dxa"/>
            <w:vMerge w:val="continue"/>
            <w:vAlign w:val="center"/>
          </w:tcPr>
          <w:p>
            <w:pPr>
              <w:pStyle w:val="6"/>
              <w:widowControl w:val="0"/>
              <w:ind w:firstLine="0" w:firstLineChars="0"/>
              <w:rPr>
                <w:rFonts w:ascii="Times New Roman"/>
                <w:sz w:val="18"/>
                <w:szCs w:val="18"/>
              </w:rPr>
            </w:pPr>
          </w:p>
        </w:tc>
        <w:tc>
          <w:tcPr>
            <w:tcW w:w="1161" w:type="dxa"/>
            <w:vMerge w:val="continue"/>
            <w:vAlign w:val="center"/>
          </w:tcPr>
          <w:p>
            <w:pPr>
              <w:pStyle w:val="6"/>
              <w:widowControl w:val="0"/>
              <w:ind w:firstLine="0" w:firstLineChars="0"/>
              <w:rPr>
                <w:rFonts w:ascii="Times New Roman"/>
                <w:sz w:val="18"/>
                <w:szCs w:val="18"/>
              </w:rPr>
            </w:pPr>
          </w:p>
        </w:tc>
        <w:tc>
          <w:tcPr>
            <w:tcW w:w="675" w:type="dxa"/>
            <w:vMerge w:val="continue"/>
            <w:vAlign w:val="center"/>
          </w:tcPr>
          <w:p>
            <w:pPr>
              <w:pStyle w:val="6"/>
              <w:widowControl w:val="0"/>
              <w:ind w:firstLine="0" w:firstLineChars="0"/>
              <w:jc w:val="center"/>
              <w:rPr>
                <w:rFonts w:hint="eastAsia" w:ascii="宋体" w:hAnsi="宋体" w:cs="宋体"/>
                <w:b w:val="0"/>
                <w:bCs w:val="0"/>
                <w:sz w:val="18"/>
                <w:szCs w:val="18"/>
              </w:rPr>
            </w:pPr>
          </w:p>
        </w:tc>
        <w:tc>
          <w:tcPr>
            <w:tcW w:w="3572" w:type="dxa"/>
            <w:vMerge w:val="continue"/>
            <w:vAlign w:val="center"/>
          </w:tcPr>
          <w:p>
            <w:pPr>
              <w:pStyle w:val="6"/>
              <w:widowControl w:val="0"/>
              <w:ind w:firstLine="0" w:firstLineChars="0"/>
              <w:jc w:val="left"/>
              <w:rPr>
                <w:rFonts w:hint="eastAsia" w:ascii="宋体"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在应用层尝试对关键业务操作进行重放攻击，查看服务器后台是否响应该重放报文。</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39</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会话终止。</w:t>
            </w:r>
            <w:r>
              <w:rPr>
                <w:rFonts w:hint="eastAsia" w:ascii="宋体" w:hAnsi="宋体" w:cs="宋体"/>
                <w:color w:val="000000" w:themeColor="text1"/>
                <w:kern w:val="0"/>
                <w:sz w:val="18"/>
                <w:szCs w:val="18"/>
                <w14:textFill>
                  <w14:solidFill>
                    <w14:schemeClr w14:val="tx1"/>
                  </w14:solidFill>
                </w14:textFill>
              </w:rPr>
              <w:t>应确保用户在执行注销/登出后，会话被安全终止</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使用正常用户在移动互联网应用程序上进行登录操作获取合法权限，收集正常用户的会话信息然后执行注销/登出操作。</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尝试使用之前的会话信息与服务器进行数据交互，查看该会话是否仍然存在之前的访问权限。</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40</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会话超时。</w:t>
            </w:r>
            <w:r>
              <w:rPr>
                <w:rFonts w:hint="eastAsia" w:ascii="宋体" w:hAnsi="宋体" w:cs="宋体"/>
                <w:color w:val="000000" w:themeColor="text1"/>
                <w:kern w:val="0"/>
                <w:sz w:val="18"/>
                <w:szCs w:val="18"/>
                <w14:textFill>
                  <w14:solidFill>
                    <w14:schemeClr w14:val="tx1"/>
                  </w14:solidFill>
                </w14:textFill>
              </w:rPr>
              <w:t>应设计合理的账户登录超时控制策略，当用户闲置在线状态超出时限时，自动退出登录状态</w:t>
            </w: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使用正常用户在移动互联网应用程序上进行登录操作建立有效会话，当会话超出预先设定时限时，是否能够自动退出会话状态。</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41</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并发限制。</w:t>
            </w:r>
            <w:r>
              <w:rPr>
                <w:rFonts w:hint="eastAsia" w:ascii="宋体" w:hAnsi="宋体" w:cs="宋体"/>
                <w:color w:val="000000" w:themeColor="text1"/>
                <w:kern w:val="0"/>
                <w:sz w:val="18"/>
                <w:szCs w:val="18"/>
                <w14:textFill>
                  <w14:solidFill>
                    <w14:schemeClr w14:val="tx1"/>
                  </w14:solidFill>
                </w14:textFill>
              </w:rPr>
              <w:t>应限制会话并发连接数，限制同一用户的会话并发连接数，避免恶意用户创建多个并发的会话 来消耗系统资源，影响业务的可用性</w:t>
            </w: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检查服务器配置，是否对同一用户的连接会话数量进行限制。</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询问管理员是否限制同一用户的会话并发连接数，然后通过同一用户在不同的移动终端上采用移动互联网应用程序进行登录操作，查看是否触发限制功能。</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第三方网络传输</w:t>
            </w: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42</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安全通道。</w:t>
            </w:r>
            <w:r>
              <w:rPr>
                <w:rFonts w:hint="eastAsia" w:ascii="宋体" w:hAnsi="宋体" w:cs="宋体"/>
                <w:color w:val="000000" w:themeColor="text1"/>
                <w:kern w:val="0"/>
                <w:sz w:val="18"/>
                <w:szCs w:val="18"/>
                <w14:textFill>
                  <w14:solidFill>
                    <w14:schemeClr w14:val="tx1"/>
                  </w14:solidFill>
                </w14:textFill>
              </w:rPr>
              <w:t>移动互联网应用程序和服务器之间的通信如使用第三方服务器，应建立服务器与移动互联网应用程 序之间的加密安全通道，防止信息被第三方截获或篡改</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开发文档中，移动互联网应用程序和服务器中间的通信是否经过第三方服务器。</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移动互联网应用程序与服务器是否建立安全的加密通道，加密算法和密钥长度是否符合国家密码主管部门的认可。</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restart"/>
            <w:vAlign w:val="center"/>
          </w:tcPr>
          <w:p>
            <w:pPr>
              <w:pStyle w:val="6"/>
              <w:widowControl w:val="0"/>
              <w:ind w:firstLine="0" w:firstLineChars="0"/>
              <w:rPr>
                <w:rFonts w:ascii="Times New Roman"/>
                <w:b/>
                <w:szCs w:val="21"/>
              </w:rPr>
            </w:pPr>
            <w:r>
              <w:rPr>
                <w:rFonts w:hint="eastAsia" w:ascii="Times New Roman"/>
                <w:b/>
                <w:szCs w:val="21"/>
              </w:rPr>
              <w:t>数据安全</w:t>
            </w:r>
          </w:p>
        </w:tc>
        <w:tc>
          <w:tcPr>
            <w:tcW w:w="1161" w:type="dxa"/>
            <w:vMerge w:val="restart"/>
            <w:vAlign w:val="center"/>
          </w:tcPr>
          <w:p>
            <w:r>
              <w:rPr>
                <w:rFonts w:hint="eastAsia"/>
              </w:rPr>
              <w:t>数据录入</w:t>
            </w: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43</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数据录入安全。</w:t>
            </w:r>
            <w:r>
              <w:rPr>
                <w:rFonts w:hint="eastAsia" w:ascii="宋体" w:hAnsi="宋体" w:cs="宋体"/>
                <w:color w:val="000000" w:themeColor="text1"/>
                <w:kern w:val="0"/>
                <w:sz w:val="18"/>
                <w:szCs w:val="18"/>
                <w14:textFill>
                  <w14:solidFill>
                    <w14:schemeClr w14:val="tx1"/>
                  </w14:solidFill>
                </w14:textFill>
              </w:rPr>
              <w:t>用户输入密码等客户敏感信息时，不应明文显示</w:t>
            </w: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通过检查开发文档等方式，发现移动互联网应用程序需要输入密码的业务功能点，检查在用户输入密码时，是否以非明文形式显示。</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44</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页面返回保护。</w:t>
            </w:r>
            <w:r>
              <w:rPr>
                <w:rFonts w:hint="eastAsia" w:ascii="宋体" w:hAnsi="宋体" w:cs="宋体"/>
                <w:color w:val="000000" w:themeColor="text1"/>
                <w:kern w:val="0"/>
                <w:sz w:val="18"/>
                <w:szCs w:val="18"/>
                <w14:textFill>
                  <w14:solidFill>
                    <w14:schemeClr w14:val="tx1"/>
                  </w14:solidFill>
                </w14:textFill>
              </w:rPr>
              <w:t>移动互联网应用程序应支持界面返回后自动清除该界面客户敏感信息的机制</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color w:val="000000" w:themeColor="text1"/>
                <w:sz w:val="18"/>
                <w:szCs w:val="18"/>
                <w14:textFill>
                  <w14:solidFill>
                    <w14:schemeClr w14:val="tx1"/>
                  </w14:solidFill>
                </w14:textFill>
              </w:rPr>
              <w:t>开发文档中是否有关于页面返回后自动清除个人信息的说明。</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117" w:type="dxa"/>
            <w:vMerge w:val="continue"/>
            <w:vAlign w:val="center"/>
          </w:tcPr>
          <w:p>
            <w:pPr>
              <w:pStyle w:val="6"/>
              <w:widowControl w:val="0"/>
              <w:ind w:firstLine="0" w:firstLineChars="0"/>
              <w:rPr>
                <w:rFonts w:ascii="Times New Roman"/>
                <w:sz w:val="18"/>
                <w:szCs w:val="18"/>
              </w:rPr>
            </w:pPr>
          </w:p>
        </w:tc>
        <w:tc>
          <w:tcPr>
            <w:tcW w:w="1161" w:type="dxa"/>
            <w:vMerge w:val="continue"/>
            <w:vAlign w:val="center"/>
          </w:tcPr>
          <w:p>
            <w:pPr>
              <w:pStyle w:val="6"/>
              <w:widowControl w:val="0"/>
              <w:ind w:firstLine="0" w:firstLineChars="0"/>
              <w:rPr>
                <w:rFonts w:ascii="Times New Roman"/>
                <w:sz w:val="18"/>
                <w:szCs w:val="18"/>
              </w:rPr>
            </w:pPr>
          </w:p>
        </w:tc>
        <w:tc>
          <w:tcPr>
            <w:tcW w:w="675" w:type="dxa"/>
            <w:vMerge w:val="continue"/>
            <w:vAlign w:val="center"/>
          </w:tcPr>
          <w:p>
            <w:pPr>
              <w:pStyle w:val="6"/>
              <w:widowControl w:val="0"/>
              <w:ind w:firstLine="0" w:firstLineChars="0"/>
              <w:jc w:val="center"/>
              <w:rPr>
                <w:rFonts w:hint="eastAsia" w:ascii="宋体" w:hAnsi="宋体" w:cs="宋体"/>
                <w:b w:val="0"/>
                <w:bCs w:val="0"/>
                <w:sz w:val="18"/>
                <w:szCs w:val="18"/>
              </w:rPr>
            </w:pPr>
          </w:p>
        </w:tc>
        <w:tc>
          <w:tcPr>
            <w:tcW w:w="3572" w:type="dxa"/>
            <w:vMerge w:val="continue"/>
            <w:vAlign w:val="center"/>
          </w:tcPr>
          <w:p>
            <w:pPr>
              <w:pStyle w:val="6"/>
              <w:widowControl w:val="0"/>
              <w:ind w:firstLine="0" w:firstLineChars="0"/>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操作移动互联网应用程序进入涉及敏感数据显示和处理的页面，输入敏感数据后通过各种方式（切到其它页面、切到后台等）重新进入该页面时，敏感数据是否自动清除。</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117" w:type="dxa"/>
            <w:vMerge w:val="continue"/>
            <w:vAlign w:val="center"/>
          </w:tcPr>
          <w:p>
            <w:pPr>
              <w:pStyle w:val="6"/>
              <w:widowControl w:val="0"/>
              <w:ind w:firstLine="0" w:firstLineChars="0"/>
              <w:rPr>
                <w:rFonts w:ascii="Times New Roman"/>
                <w:sz w:val="18"/>
                <w:szCs w:val="18"/>
              </w:rPr>
            </w:pPr>
          </w:p>
        </w:tc>
        <w:tc>
          <w:tcPr>
            <w:tcW w:w="1161" w:type="dxa"/>
            <w:vMerge w:val="continue"/>
            <w:vAlign w:val="center"/>
          </w:tcPr>
          <w:p>
            <w:pPr>
              <w:pStyle w:val="6"/>
              <w:widowControl w:val="0"/>
              <w:ind w:firstLine="0" w:firstLineChars="0"/>
              <w:rPr>
                <w:rFonts w:ascii="Times New Roman"/>
                <w:sz w:val="18"/>
                <w:szCs w:val="18"/>
              </w:rPr>
            </w:pPr>
          </w:p>
        </w:tc>
        <w:tc>
          <w:tcPr>
            <w:tcW w:w="675" w:type="dxa"/>
            <w:vMerge w:val="continue"/>
            <w:vAlign w:val="center"/>
          </w:tcPr>
          <w:p>
            <w:pPr>
              <w:pStyle w:val="6"/>
              <w:widowControl w:val="0"/>
              <w:ind w:firstLine="0" w:firstLineChars="0"/>
              <w:jc w:val="center"/>
              <w:rPr>
                <w:rFonts w:hint="eastAsia" w:ascii="宋体" w:hAnsi="宋体" w:cs="宋体"/>
                <w:b w:val="0"/>
                <w:bCs w:val="0"/>
                <w:sz w:val="18"/>
                <w:szCs w:val="18"/>
              </w:rPr>
            </w:pPr>
          </w:p>
        </w:tc>
        <w:tc>
          <w:tcPr>
            <w:tcW w:w="3572" w:type="dxa"/>
            <w:vMerge w:val="continue"/>
            <w:vAlign w:val="center"/>
          </w:tcPr>
          <w:p>
            <w:pPr>
              <w:pStyle w:val="6"/>
              <w:widowControl w:val="0"/>
              <w:ind w:firstLine="0" w:firstLineChars="0"/>
              <w:jc w:val="left"/>
              <w:rPr>
                <w:rFonts w:hint="eastAsia" w:ascii="宋体"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调出后台列表界面，查看移动互联网应用程序客户端在后来列表中的预览界面是否采取模糊或其他防护措施。</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数据存储</w:t>
            </w: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45</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敏感信息存储。</w:t>
            </w:r>
            <w:r>
              <w:rPr>
                <w:rFonts w:hint="eastAsia" w:ascii="宋体" w:hAnsi="宋体" w:cs="宋体"/>
                <w:color w:val="000000" w:themeColor="text1"/>
                <w:kern w:val="0"/>
                <w:sz w:val="18"/>
                <w:szCs w:val="18"/>
                <w14:textFill>
                  <w14:solidFill>
                    <w14:schemeClr w14:val="tx1"/>
                  </w14:solidFill>
                </w14:textFill>
              </w:rPr>
              <w:t>移动互联网应用程序不应在客户未许可或不知情的情况下存储客户敏感信息，且不应以任何形式存储密码信息</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ascii="宋体" w:hAnsi="宋体" w:cs="宋体"/>
                <w:color w:val="000000" w:themeColor="text1"/>
                <w:sz w:val="18"/>
                <w:szCs w:val="18"/>
                <w14:textFill>
                  <w14:solidFill>
                    <w14:schemeClr w14:val="tx1"/>
                  </w14:solidFill>
                </w14:textFill>
              </w:rPr>
              <w:t>开发文档中是否有对于移动互联网应用程序在个人敏感信息（包括但不限于账户口令、身份证号码、财产信息等）存储的规定。</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Layout w:type="fixed"/>
          <w:tblCellMar>
            <w:top w:w="0" w:type="dxa"/>
            <w:left w:w="108" w:type="dxa"/>
            <w:bottom w:w="0" w:type="dxa"/>
            <w:right w:w="108" w:type="dxa"/>
          </w:tblCellMar>
        </w:tblPrEx>
        <w:trPr>
          <w:trHeight w:val="309" w:hRule="atLeast"/>
          <w:jc w:val="center"/>
        </w:trPr>
        <w:tc>
          <w:tcPr>
            <w:tcW w:w="1117" w:type="dxa"/>
            <w:vMerge w:val="continue"/>
            <w:vAlign w:val="center"/>
          </w:tcPr>
          <w:p>
            <w:pPr>
              <w:pStyle w:val="6"/>
              <w:widowControl w:val="0"/>
              <w:ind w:firstLine="0" w:firstLineChars="0"/>
              <w:rPr>
                <w:rFonts w:ascii="Times New Roman"/>
                <w:sz w:val="18"/>
                <w:szCs w:val="18"/>
              </w:rPr>
            </w:pPr>
          </w:p>
        </w:tc>
        <w:tc>
          <w:tcPr>
            <w:tcW w:w="1161" w:type="dxa"/>
            <w:vMerge w:val="continue"/>
            <w:vAlign w:val="center"/>
          </w:tcPr>
          <w:p>
            <w:pPr>
              <w:pStyle w:val="6"/>
              <w:widowControl w:val="0"/>
              <w:ind w:firstLine="0" w:firstLineChars="0"/>
              <w:rPr>
                <w:rFonts w:ascii="Times New Roman"/>
                <w:sz w:val="18"/>
                <w:szCs w:val="18"/>
              </w:rPr>
            </w:pPr>
          </w:p>
        </w:tc>
        <w:tc>
          <w:tcPr>
            <w:tcW w:w="675" w:type="dxa"/>
            <w:vMerge w:val="continue"/>
            <w:vAlign w:val="center"/>
          </w:tcPr>
          <w:p>
            <w:pPr>
              <w:pStyle w:val="6"/>
              <w:widowControl w:val="0"/>
              <w:ind w:firstLine="0" w:firstLineChars="0"/>
              <w:jc w:val="center"/>
              <w:rPr>
                <w:rFonts w:hint="eastAsia" w:ascii="宋体" w:hAnsi="宋体" w:cs="宋体"/>
                <w:b w:val="0"/>
                <w:bCs w:val="0"/>
                <w:sz w:val="18"/>
                <w:szCs w:val="18"/>
              </w:rPr>
            </w:pPr>
          </w:p>
        </w:tc>
        <w:tc>
          <w:tcPr>
            <w:tcW w:w="3572" w:type="dxa"/>
            <w:vMerge w:val="continue"/>
            <w:vAlign w:val="center"/>
          </w:tcPr>
          <w:p>
            <w:pPr>
              <w:pStyle w:val="6"/>
              <w:widowControl w:val="0"/>
              <w:ind w:firstLine="0" w:firstLineChars="0"/>
              <w:jc w:val="left"/>
              <w:rPr>
                <w:rFonts w:hint="eastAsia" w:ascii="宋体"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移动互联网应用程序是否在移动终端保存个人敏感信息，与开发文档中的规定是否一致。</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117" w:type="dxa"/>
            <w:vMerge w:val="continue"/>
            <w:vAlign w:val="center"/>
          </w:tcPr>
          <w:p>
            <w:pPr>
              <w:pStyle w:val="6"/>
              <w:widowControl w:val="0"/>
              <w:ind w:firstLine="0" w:firstLineChars="0"/>
              <w:rPr>
                <w:rFonts w:ascii="Times New Roman"/>
                <w:sz w:val="18"/>
                <w:szCs w:val="18"/>
              </w:rPr>
            </w:pPr>
          </w:p>
        </w:tc>
        <w:tc>
          <w:tcPr>
            <w:tcW w:w="1161" w:type="dxa"/>
            <w:vMerge w:val="continue"/>
            <w:vAlign w:val="center"/>
          </w:tcPr>
          <w:p>
            <w:pPr>
              <w:pStyle w:val="6"/>
              <w:widowControl w:val="0"/>
              <w:ind w:firstLine="0" w:firstLineChars="0"/>
              <w:rPr>
                <w:rFonts w:ascii="Times New Roman"/>
                <w:sz w:val="18"/>
                <w:szCs w:val="18"/>
              </w:rPr>
            </w:pPr>
          </w:p>
        </w:tc>
        <w:tc>
          <w:tcPr>
            <w:tcW w:w="675" w:type="dxa"/>
            <w:vMerge w:val="continue"/>
            <w:vAlign w:val="center"/>
          </w:tcPr>
          <w:p>
            <w:pPr>
              <w:pStyle w:val="6"/>
              <w:widowControl w:val="0"/>
              <w:ind w:firstLine="0" w:firstLineChars="0"/>
              <w:jc w:val="center"/>
              <w:rPr>
                <w:rFonts w:hint="eastAsia" w:ascii="宋体" w:hAnsi="宋体" w:cs="宋体"/>
                <w:b w:val="0"/>
                <w:bCs w:val="0"/>
                <w:sz w:val="18"/>
                <w:szCs w:val="18"/>
              </w:rPr>
            </w:pPr>
          </w:p>
        </w:tc>
        <w:tc>
          <w:tcPr>
            <w:tcW w:w="3572" w:type="dxa"/>
            <w:vMerge w:val="continue"/>
            <w:vAlign w:val="center"/>
          </w:tcPr>
          <w:p>
            <w:pPr>
              <w:pStyle w:val="6"/>
              <w:widowControl w:val="0"/>
              <w:ind w:firstLine="0" w:firstLineChars="0"/>
              <w:jc w:val="left"/>
              <w:rPr>
                <w:rFonts w:hint="eastAsia" w:ascii="宋体"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移动互联网应用程序存储个人敏感信息之前是否获取客户许可或明示同意。</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46</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客户信息保护。</w:t>
            </w:r>
            <w:r>
              <w:rPr>
                <w:rFonts w:hint="eastAsia" w:ascii="宋体" w:hAnsi="宋体" w:cs="宋体"/>
                <w:color w:val="000000" w:themeColor="text1"/>
                <w:kern w:val="0"/>
                <w:sz w:val="18"/>
                <w:szCs w:val="18"/>
                <w14:textFill>
                  <w14:solidFill>
                    <w14:schemeClr w14:val="tx1"/>
                  </w14:solidFill>
                </w14:textFill>
              </w:rPr>
              <w:t>移动互联网应用程序删除后，应清除移动终端中的所有客户信息</w:t>
            </w: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开发文档中，移动互联网应用程序卸载后移动终端中是否仍有客户信息残留相关说明。</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7"/>
              <w:tabs>
                <w:tab w:val="clear" w:pos="4201"/>
                <w:tab w:val="clear" w:pos="9298"/>
              </w:tabs>
              <w:ind w:left="0" w:leftChars="0"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使用文件系统管理工具检查移动互联网应用程序卸载后，移动终端中是否仍有客户信息残留。</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47</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敏感信息保护。</w:t>
            </w:r>
            <w:r>
              <w:rPr>
                <w:rFonts w:hint="eastAsia" w:ascii="宋体" w:hAnsi="宋体" w:cs="宋体"/>
                <w:color w:val="000000" w:themeColor="text1"/>
                <w:kern w:val="0"/>
                <w:sz w:val="18"/>
                <w:szCs w:val="18"/>
                <w14:textFill>
                  <w14:solidFill>
                    <w14:schemeClr w14:val="tx1"/>
                  </w14:solidFill>
                </w14:textFill>
              </w:rPr>
              <w:t>移动互联网应用程序退出时，应清除或加密存储客户的敏感数据</w:t>
            </w:r>
          </w:p>
        </w:tc>
        <w:tc>
          <w:tcPr>
            <w:tcW w:w="5032" w:type="dxa"/>
            <w:vAlign w:val="center"/>
          </w:tcPr>
          <w:p>
            <w:pPr>
              <w:pStyle w:val="6"/>
              <w:tabs>
                <w:tab w:val="center" w:pos="4201"/>
                <w:tab w:val="right" w:leader="dot" w:pos="9298"/>
              </w:tabs>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开发文档中，关于移动互联网应用程序退出时是否清除或加密存储客户敏感数据相关说明。</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使用文件管理工具或内存搜索工具检查移动互联网应用程序退出时是否清除文件系统中客户敏感数据。</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1117" w:type="dxa"/>
            <w:vMerge w:val="restart"/>
            <w:vAlign w:val="center"/>
          </w:tcPr>
          <w:p>
            <w:pPr>
              <w:pStyle w:val="6"/>
              <w:widowControl w:val="0"/>
              <w:ind w:firstLine="0" w:firstLineChars="0"/>
              <w:rPr>
                <w:rFonts w:ascii="Times New Roman"/>
                <w:b/>
                <w:szCs w:val="21"/>
              </w:rPr>
            </w:pPr>
            <w:r>
              <w:rPr>
                <w:rFonts w:hint="eastAsia" w:ascii="Times New Roman"/>
                <w:b/>
                <w:szCs w:val="21"/>
              </w:rPr>
              <w:t>开发安全</w:t>
            </w:r>
          </w:p>
        </w:tc>
        <w:tc>
          <w:tcPr>
            <w:tcW w:w="1161" w:type="dxa"/>
            <w:vAlign w:val="center"/>
          </w:tcPr>
          <w:p>
            <w:r>
              <w:rPr>
                <w:rFonts w:hint="eastAsia"/>
              </w:rPr>
              <w:t>安全需求</w:t>
            </w:r>
          </w:p>
        </w:tc>
        <w:tc>
          <w:tcPr>
            <w:tcW w:w="675" w:type="dxa"/>
            <w:vAlign w:val="center"/>
          </w:tcPr>
          <w:p>
            <w:pPr>
              <w:widowControl/>
              <w:ind w:firstLine="0"/>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48</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安全需求。</w:t>
            </w:r>
            <w:r>
              <w:rPr>
                <w:rFonts w:hint="eastAsia" w:ascii="宋体" w:hAnsi="宋体" w:cs="宋体"/>
                <w:color w:val="000000" w:themeColor="text1"/>
                <w:kern w:val="0"/>
                <w:sz w:val="18"/>
                <w:szCs w:val="18"/>
                <w14:textFill>
                  <w14:solidFill>
                    <w14:schemeClr w14:val="tx1"/>
                  </w14:solidFill>
                </w14:textFill>
              </w:rPr>
              <w:t>移动互联网应用程序在架构设计时应制定安全需求，描述移动互联网应用程序应具备的安全功能。</w:t>
            </w:r>
          </w:p>
        </w:tc>
        <w:tc>
          <w:tcPr>
            <w:tcW w:w="5032" w:type="dxa"/>
            <w:vAlign w:val="center"/>
          </w:tcPr>
          <w:p>
            <w:pPr>
              <w:pStyle w:val="6"/>
              <w:widowControl w:val="0"/>
              <w:ind w:firstLine="0" w:firstLineChars="0"/>
              <w:jc w:val="left"/>
              <w:rPr>
                <w:rFonts w:hAnsi="宋体" w:cs="宋体"/>
                <w:sz w:val="18"/>
                <w:szCs w:val="18"/>
              </w:rPr>
            </w:pPr>
            <w:r>
              <w:rPr>
                <w:rFonts w:hint="eastAsia" w:ascii="宋体" w:hAnsi="宋体" w:cs="宋体"/>
                <w:color w:val="000000" w:themeColor="text1"/>
                <w:sz w:val="18"/>
                <w:szCs w:val="18"/>
                <w14:textFill>
                  <w14:solidFill>
                    <w14:schemeClr w14:val="tx1"/>
                  </w14:solidFill>
                </w14:textFill>
              </w:rPr>
              <w:t>移动互联网应用程序的安全需求，查看需求中对移动互联网应用程序安全功能的描述。</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安全开发</w:t>
            </w: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49</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安全编码。</w:t>
            </w:r>
            <w:r>
              <w:rPr>
                <w:rFonts w:hint="eastAsia" w:ascii="宋体" w:hAnsi="宋体" w:cs="宋体"/>
                <w:color w:val="000000" w:themeColor="text1"/>
                <w:kern w:val="0"/>
                <w:sz w:val="18"/>
                <w:szCs w:val="18"/>
                <w14:textFill>
                  <w14:solidFill>
                    <w14:schemeClr w14:val="tx1"/>
                  </w14:solidFill>
                </w14:textFill>
              </w:rPr>
              <w:t>移动互联网应用程序开发过程中应考虑编码安全性，减少应用程序安全漏洞</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移动互联网应用程序开发编码安全手册，查看程序代码是否遵守编码安全手册编写。</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50</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安全插件。</w:t>
            </w:r>
            <w:r>
              <w:rPr>
                <w:rFonts w:hint="eastAsia" w:ascii="宋体" w:hAnsi="宋体" w:cs="宋体"/>
                <w:color w:val="000000" w:themeColor="text1"/>
                <w:kern w:val="0"/>
                <w:sz w:val="18"/>
                <w:szCs w:val="18"/>
                <w14:textFill>
                  <w14:solidFill>
                    <w14:schemeClr w14:val="tx1"/>
                  </w14:solidFill>
                </w14:textFill>
              </w:rPr>
              <w:t>所使用的第三方开发工具和第三方插件应是安全的</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移动互联网应用程序中的第三方插件是否具有安全测试报告或证书。</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所使用的第三方开发工具是否经过安全认定和检查。</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51</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安全逻辑。</w:t>
            </w:r>
            <w:r>
              <w:rPr>
                <w:rFonts w:hint="eastAsia" w:ascii="宋体" w:hAnsi="宋体" w:cs="宋体"/>
                <w:kern w:val="0"/>
                <w:sz w:val="18"/>
                <w:szCs w:val="18"/>
              </w:rPr>
              <w:t>认</w:t>
            </w:r>
            <w:r>
              <w:rPr>
                <w:rFonts w:hint="eastAsia" w:ascii="宋体" w:hAnsi="宋体" w:cs="宋体"/>
                <w:color w:val="000000" w:themeColor="text1"/>
                <w:kern w:val="0"/>
                <w:sz w:val="18"/>
                <w:szCs w:val="18"/>
                <w14:textFill>
                  <w14:solidFill>
                    <w14:schemeClr w14:val="tx1"/>
                  </w14:solidFill>
                </w14:textFill>
              </w:rPr>
              <w:t>证逻辑、校验功能应在服务器端完成</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移动互联网应用程序的身份认证逻辑是否在服务器端完成。</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检查重要数据的校验功能是否在服务器端完成，如数据报文的完整性校验、口令的复杂度校验（若口令在客户端采用不可逆算法，则可在客户端进行校验）等。</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安全测试</w:t>
            </w: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52</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上线测试。</w:t>
            </w:r>
            <w:r>
              <w:rPr>
                <w:rFonts w:hint="eastAsia" w:ascii="宋体" w:hAnsi="宋体" w:cs="宋体"/>
                <w:color w:val="000000" w:themeColor="text1"/>
                <w:kern w:val="0"/>
                <w:sz w:val="18"/>
                <w:szCs w:val="18"/>
                <w14:textFill>
                  <w14:solidFill>
                    <w14:schemeClr w14:val="tx1"/>
                  </w14:solidFill>
                </w14:textFill>
              </w:rPr>
              <w:t>移动互联网应用程序在开发完成，正式上线前，应进行安全测试和渗透测试</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移动互联网应用程序上线前是否进行安全测试，并查看相关的测试报告。</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53</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功能测试。</w:t>
            </w:r>
            <w:r>
              <w:rPr>
                <w:rFonts w:hint="eastAsia" w:ascii="宋体" w:hAnsi="宋体" w:cs="宋体"/>
                <w:color w:val="000000" w:themeColor="text1"/>
                <w:kern w:val="0"/>
                <w:sz w:val="18"/>
                <w:szCs w:val="18"/>
                <w14:textFill>
                  <w14:solidFill>
                    <w14:schemeClr w14:val="tx1"/>
                  </w14:solidFill>
                </w14:textFill>
              </w:rPr>
              <w:t>应提供安全性功能操作文档，应提供安全性功能测试文档</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是否提供安全功能操作和安全功能测试文档，是否与移动互联网应用程序的实际情况保持一致。</w:t>
            </w:r>
          </w:p>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安全发布</w:t>
            </w: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54</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测试数据。</w:t>
            </w:r>
            <w:r>
              <w:rPr>
                <w:rFonts w:hint="eastAsia" w:ascii="宋体" w:hAnsi="宋体" w:cs="宋体"/>
                <w:color w:val="000000" w:themeColor="text1"/>
                <w:kern w:val="0"/>
                <w:sz w:val="18"/>
                <w:szCs w:val="18"/>
                <w14:textFill>
                  <w14:solidFill>
                    <w14:schemeClr w14:val="tx1"/>
                  </w14:solidFill>
                </w14:textFill>
              </w:rPr>
              <w:t>正式版本发布时，应删除测试数据和所有用于调试的代码</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通过工具扫描或人工核查方式查看正式版本发布的移动互联网应用程序是否存在测试文件和测试代码。</w:t>
            </w:r>
          </w:p>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55</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证书签名。</w:t>
            </w:r>
            <w:r>
              <w:rPr>
                <w:rFonts w:hint="eastAsia" w:ascii="宋体" w:hAnsi="宋体" w:cs="宋体"/>
                <w:color w:val="000000" w:themeColor="text1"/>
                <w:kern w:val="0"/>
                <w:sz w:val="18"/>
                <w:szCs w:val="18"/>
                <w14:textFill>
                  <w14:solidFill>
                    <w14:schemeClr w14:val="tx1"/>
                  </w14:solidFill>
                </w14:textFill>
              </w:rPr>
              <w:t>移动互联网应用程序应采用发布机构的证书进行签名，标识应用程序的发布者，签名证书应由专门岗位管理</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移动互联网应用程序的签名证书，查看证书的标识是否与来源保持一致。</w:t>
            </w:r>
          </w:p>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签名证书是否由专门岗位管理。</w:t>
            </w:r>
          </w:p>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17" w:type="dxa"/>
            <w:vMerge w:val="continue"/>
            <w:vAlign w:val="center"/>
          </w:tcPr>
          <w:p>
            <w:pPr>
              <w:pStyle w:val="6"/>
              <w:widowControl w:val="0"/>
              <w:ind w:firstLine="0" w:firstLineChars="0"/>
              <w:rPr>
                <w:rFonts w:ascii="Times New Roman"/>
                <w:b/>
                <w:sz w:val="18"/>
                <w:szCs w:val="18"/>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56</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上线发布。</w:t>
            </w:r>
            <w:r>
              <w:rPr>
                <w:rFonts w:hint="eastAsia" w:ascii="宋体" w:hAnsi="宋体" w:cs="宋体"/>
                <w:color w:val="000000" w:themeColor="text1"/>
                <w:kern w:val="0"/>
                <w:sz w:val="18"/>
                <w:szCs w:val="18"/>
                <w14:textFill>
                  <w14:solidFill>
                    <w14:schemeClr w14:val="tx1"/>
                  </w14:solidFill>
                </w14:textFill>
              </w:rPr>
              <w:t>移动互联网应用程序应有规范的上线发布流程，并应提供安全可靠的移动应用软件下载、发布、升级渠道</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移动互联网应用程序上线发布流程的规范文档。</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移动互联网应用程序的下载、发布、升级渠道，并评估该渠道的安全性。</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restart"/>
            <w:vAlign w:val="center"/>
          </w:tcPr>
          <w:p>
            <w:pPr>
              <w:pStyle w:val="6"/>
              <w:widowControl w:val="0"/>
              <w:ind w:firstLine="0" w:firstLineChars="0"/>
              <w:rPr>
                <w:rFonts w:ascii="Times New Roman"/>
                <w:b/>
                <w:sz w:val="18"/>
                <w:szCs w:val="18"/>
              </w:rPr>
            </w:pPr>
            <w:r>
              <w:rPr>
                <w:rFonts w:hint="eastAsia" w:ascii="Times New Roman"/>
                <w:b/>
                <w:sz w:val="18"/>
                <w:szCs w:val="18"/>
              </w:rPr>
              <w:t>安全审计</w:t>
            </w:r>
          </w:p>
        </w:tc>
        <w:tc>
          <w:tcPr>
            <w:tcW w:w="1161" w:type="dxa"/>
            <w:vMerge w:val="restart"/>
            <w:vAlign w:val="center"/>
          </w:tcPr>
          <w:p>
            <w:r>
              <w:rPr>
                <w:rFonts w:hint="eastAsia"/>
              </w:rPr>
              <w:t>日志生成</w:t>
            </w: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57</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日志内容。</w:t>
            </w:r>
            <w:r>
              <w:rPr>
                <w:rFonts w:hint="eastAsia" w:ascii="宋体" w:hAnsi="宋体" w:cs="宋体"/>
                <w:color w:val="000000" w:themeColor="text1"/>
                <w:kern w:val="0"/>
                <w:sz w:val="18"/>
                <w:szCs w:val="18"/>
                <w14:textFill>
                  <w14:solidFill>
                    <w14:schemeClr w14:val="tx1"/>
                  </w14:solidFill>
                </w14:textFill>
              </w:rPr>
              <w:t>日志应包括事件发生的日期、时间、用户标识、设备唯一标识、设备型号、设备版本、网络类 型、事件描述和结果等信息</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系统的用户操作日志，查看日志信息是否包括日期、时间、用户标识、设备唯一标识、设备型号、设备版本、网络类型、事件描述和结果等信息。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58</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操作日志。</w:t>
            </w:r>
            <w:r>
              <w:rPr>
                <w:rFonts w:hint="eastAsia" w:ascii="宋体" w:hAnsi="宋体" w:cs="宋体"/>
                <w:color w:val="000000" w:themeColor="text1"/>
                <w:kern w:val="0"/>
                <w:sz w:val="18"/>
                <w:szCs w:val="18"/>
                <w14:textFill>
                  <w14:solidFill>
                    <w14:schemeClr w14:val="tx1"/>
                  </w14:solidFill>
                </w14:textFill>
              </w:rPr>
              <w:t>日志应该如实记录用户各项重要操作，如用户登录成功和失败；校验失败的次数超出阀值导致 会话连接终止等</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系统是否记录用户的各项重要操作，如登录成功和失败日志等。</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59</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调试日志。</w:t>
            </w:r>
            <w:r>
              <w:rPr>
                <w:rFonts w:hint="eastAsia" w:ascii="宋体" w:hAnsi="宋体" w:cs="宋体"/>
                <w:color w:val="000000" w:themeColor="text1"/>
                <w:kern w:val="0"/>
                <w:sz w:val="18"/>
                <w:szCs w:val="18"/>
                <w14:textFill>
                  <w14:solidFill>
                    <w14:schemeClr w14:val="tx1"/>
                  </w14:solidFill>
                </w14:textFill>
              </w:rPr>
              <w:t>正式发布的移动终端程序不能包含调试过程中的日志</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移动互联网应用程序客户端操作系统的日志记录文件，查找移动互联网应用程序是否向操作系统提供开发过程的调试日志。</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restart"/>
            <w:vAlign w:val="center"/>
          </w:tcPr>
          <w:p>
            <w:r>
              <w:rPr>
                <w:rFonts w:hint="eastAsia"/>
              </w:rPr>
              <w:t>日志管理</w:t>
            </w: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60</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日志存储。</w:t>
            </w:r>
            <w:r>
              <w:rPr>
                <w:rFonts w:hint="eastAsia" w:ascii="宋体" w:hAnsi="宋体" w:cs="宋体"/>
                <w:color w:val="000000" w:themeColor="text1"/>
                <w:kern w:val="0"/>
                <w:sz w:val="18"/>
                <w:szCs w:val="18"/>
                <w14:textFill>
                  <w14:solidFill>
                    <w14:schemeClr w14:val="tx1"/>
                  </w14:solidFill>
                </w14:textFill>
              </w:rPr>
              <w:t>日志应存储于掉电非易失性存储介质中</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移动互联网应用程序服务端的日志信息，是否采取安全措施（如备份等）进行妥善保护，防止日志丢失。</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Merge w:val="restart"/>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61</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日志访问。</w:t>
            </w:r>
            <w:r>
              <w:rPr>
                <w:rFonts w:hint="eastAsia" w:ascii="宋体" w:hAnsi="宋体" w:cs="宋体"/>
                <w:color w:val="000000" w:themeColor="text1"/>
                <w:kern w:val="0"/>
                <w:sz w:val="18"/>
                <w:szCs w:val="18"/>
                <w14:textFill>
                  <w14:solidFill>
                    <w14:schemeClr w14:val="tx1"/>
                  </w14:solidFill>
                </w14:textFill>
              </w:rPr>
              <w:t>仅允许授权用户以只读形式访问日志，且支持日志审计</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是否将审计日志提供审计管理员进行日志审计。</w:t>
            </w:r>
          </w:p>
        </w:tc>
        <w:tc>
          <w:tcPr>
            <w:tcW w:w="1514" w:type="dxa"/>
            <w:vMerge w:val="restart"/>
            <w:vAlign w:val="center"/>
          </w:tcPr>
          <w:p>
            <w:pPr>
              <w:pStyle w:val="6"/>
              <w:widowControl w:val="0"/>
              <w:ind w:firstLine="0" w:firstLineChars="0"/>
              <w:rPr>
                <w:rFonts w:ascii="Times New Roman"/>
                <w:sz w:val="18"/>
                <w:szCs w:val="18"/>
              </w:rPr>
            </w:pPr>
          </w:p>
        </w:tc>
        <w:tc>
          <w:tcPr>
            <w:tcW w:w="1382" w:type="dxa"/>
            <w:vMerge w:val="restart"/>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117" w:type="dxa"/>
            <w:vMerge w:val="continue"/>
            <w:vAlign w:val="center"/>
          </w:tcPr>
          <w:p>
            <w:pPr>
              <w:pStyle w:val="6"/>
              <w:widowControl w:val="0"/>
              <w:ind w:firstLine="0" w:firstLineChars="0"/>
            </w:pPr>
          </w:p>
        </w:tc>
        <w:tc>
          <w:tcPr>
            <w:tcW w:w="1161" w:type="dxa"/>
            <w:vMerge w:val="continue"/>
            <w:vAlign w:val="center"/>
          </w:tcPr>
          <w:p>
            <w:pPr>
              <w:pStyle w:val="6"/>
              <w:widowControl w:val="0"/>
              <w:ind w:firstLine="0" w:firstLineChars="0"/>
            </w:pPr>
          </w:p>
        </w:tc>
        <w:tc>
          <w:tcPr>
            <w:tcW w:w="675" w:type="dxa"/>
            <w:vMerge w:val="continue"/>
            <w:vAlign w:val="center"/>
          </w:tcPr>
          <w:p>
            <w:pPr>
              <w:pStyle w:val="6"/>
              <w:widowControl w:val="0"/>
              <w:ind w:firstLine="0" w:firstLineChars="0"/>
              <w:jc w:val="center"/>
              <w:rPr>
                <w:rFonts w:hint="eastAsia" w:hAnsi="宋体" w:cs="宋体"/>
                <w:b w:val="0"/>
                <w:bCs w:val="0"/>
                <w:sz w:val="18"/>
                <w:szCs w:val="18"/>
              </w:rPr>
            </w:pPr>
          </w:p>
        </w:tc>
        <w:tc>
          <w:tcPr>
            <w:tcW w:w="3572" w:type="dxa"/>
            <w:vMerge w:val="continue"/>
            <w:vAlign w:val="center"/>
          </w:tcPr>
          <w:p>
            <w:pPr>
              <w:pStyle w:val="6"/>
              <w:widowControl w:val="0"/>
              <w:ind w:firstLine="0" w:firstLineChars="0"/>
              <w:jc w:val="left"/>
              <w:rPr>
                <w:rFonts w:hint="eastAsia" w:hAnsi="宋体" w:cs="宋体"/>
                <w:sz w:val="18"/>
                <w:szCs w:val="18"/>
              </w:rPr>
            </w:pP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日志的权限管理管理功能，是否仅允许授权用户以只读形式访问日志。</w:t>
            </w:r>
          </w:p>
        </w:tc>
        <w:tc>
          <w:tcPr>
            <w:tcW w:w="1514" w:type="dxa"/>
            <w:vMerge w:val="continue"/>
            <w:vAlign w:val="center"/>
          </w:tcPr>
          <w:p>
            <w:pPr>
              <w:pStyle w:val="6"/>
              <w:widowControl w:val="0"/>
              <w:ind w:firstLine="0" w:firstLineChars="0"/>
              <w:rPr>
                <w:rFonts w:ascii="Times New Roman"/>
                <w:sz w:val="18"/>
                <w:szCs w:val="18"/>
              </w:rPr>
            </w:pPr>
          </w:p>
        </w:tc>
        <w:tc>
          <w:tcPr>
            <w:tcW w:w="1382" w:type="dxa"/>
            <w:vMerge w:val="continue"/>
            <w:vAlign w:val="center"/>
          </w:tcPr>
          <w:p>
            <w:pPr>
              <w:pStyle w:val="6"/>
              <w:widowControl w:val="0"/>
              <w:ind w:firstLine="0" w:firstLineChars="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62</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日志查询。</w:t>
            </w:r>
            <w:r>
              <w:rPr>
                <w:rFonts w:hint="eastAsia" w:ascii="宋体" w:hAnsi="宋体" w:cs="宋体"/>
                <w:color w:val="000000"/>
                <w:kern w:val="0"/>
                <w:sz w:val="18"/>
                <w:szCs w:val="18"/>
              </w:rPr>
              <w:t>日志应具备查询功能</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移动互联网应用程序服务端的日志信息，是否部署相关工具或开发相关功能能够对日志信息进行整体查询和分析。</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63</w:t>
            </w:r>
          </w:p>
        </w:tc>
        <w:tc>
          <w:tcPr>
            <w:tcW w:w="3572" w:type="dxa"/>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敏感日志保护。</w:t>
            </w:r>
            <w:r>
              <w:rPr>
                <w:rFonts w:hint="eastAsia" w:ascii="宋体" w:hAnsi="宋体" w:cs="宋体"/>
                <w:color w:val="000000"/>
                <w:kern w:val="0"/>
                <w:sz w:val="18"/>
                <w:szCs w:val="18"/>
              </w:rPr>
              <w:t>日志不应记录客户敏感信息</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服务端的日志记录，查看客户信息的相关内容，根据信息的敏感性进行筛选和甄别。</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64</w:t>
            </w:r>
          </w:p>
        </w:tc>
        <w:tc>
          <w:tcPr>
            <w:tcW w:w="3572" w:type="dxa"/>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存储位置。</w:t>
            </w:r>
            <w:r>
              <w:rPr>
                <w:rFonts w:hint="eastAsia" w:ascii="宋体" w:hAnsi="宋体" w:cs="宋体"/>
                <w:color w:val="000000"/>
                <w:kern w:val="0"/>
                <w:sz w:val="18"/>
                <w:szCs w:val="18"/>
              </w:rPr>
              <w:t>日志应存放于服务器端</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移动互联网应用程序服务端的日志记录。</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117" w:type="dxa"/>
            <w:vMerge w:val="continue"/>
            <w:vAlign w:val="center"/>
          </w:tcPr>
          <w:p>
            <w:pPr>
              <w:pStyle w:val="6"/>
              <w:widowControl w:val="0"/>
              <w:ind w:firstLine="0" w:firstLineChars="0"/>
              <w:rPr>
                <w:rFonts w:ascii="Times New Roman"/>
                <w:b/>
                <w:szCs w:val="21"/>
              </w:rPr>
            </w:pPr>
          </w:p>
        </w:tc>
        <w:tc>
          <w:tcPr>
            <w:tcW w:w="1161" w:type="dxa"/>
            <w:vMerge w:val="continue"/>
            <w:vAlign w:val="center"/>
          </w:tcPr>
          <w:p/>
        </w:tc>
        <w:tc>
          <w:tcPr>
            <w:tcW w:w="675" w:type="dxa"/>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65</w:t>
            </w:r>
          </w:p>
        </w:tc>
        <w:tc>
          <w:tcPr>
            <w:tcW w:w="3572" w:type="dxa"/>
            <w:vAlign w:val="center"/>
          </w:tcPr>
          <w:p>
            <w:pPr>
              <w:widowControl/>
              <w:jc w:val="left"/>
              <w:rPr>
                <w:rFonts w:ascii="宋体" w:hAnsi="宋体" w:cs="宋体"/>
                <w:kern w:val="0"/>
                <w:sz w:val="18"/>
                <w:szCs w:val="18"/>
              </w:rPr>
            </w:pPr>
            <w:r>
              <w:rPr>
                <w:rFonts w:hint="eastAsia" w:ascii="宋体" w:hAnsi="宋体" w:cs="宋体"/>
                <w:b/>
                <w:bCs/>
                <w:color w:val="000000"/>
                <w:kern w:val="0"/>
                <w:sz w:val="18"/>
                <w:szCs w:val="18"/>
              </w:rPr>
              <w:t>保存时间。</w:t>
            </w:r>
            <w:r>
              <w:rPr>
                <w:rFonts w:hint="eastAsia" w:ascii="宋体" w:hAnsi="宋体" w:cs="宋体"/>
                <w:color w:val="000000"/>
                <w:kern w:val="0"/>
                <w:sz w:val="18"/>
                <w:szCs w:val="18"/>
              </w:rPr>
              <w:t>日志保存的时间不少于十二个月，满足业务管理、审计、监督检查等需要</w:t>
            </w:r>
          </w:p>
        </w:tc>
        <w:tc>
          <w:tcPr>
            <w:tcW w:w="5032" w:type="dxa"/>
            <w:vAlign w:val="center"/>
          </w:tcPr>
          <w:p>
            <w:pPr>
              <w:pStyle w:val="6"/>
              <w:widowControl w:val="0"/>
              <w:ind w:firstLine="0" w:firstLineChars="0"/>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移动互联网应用程序服务端的日志记录，查看最早记录的日志时间。</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117" w:type="dxa"/>
            <w:vMerge w:val="restart"/>
            <w:vAlign w:val="center"/>
          </w:tcPr>
          <w:p>
            <w:pPr>
              <w:pStyle w:val="6"/>
              <w:widowControl w:val="0"/>
              <w:ind w:firstLine="0" w:firstLineChars="0"/>
              <w:rPr>
                <w:rFonts w:ascii="Times New Roman"/>
                <w:b/>
                <w:szCs w:val="21"/>
              </w:rPr>
            </w:pPr>
            <w:r>
              <w:rPr>
                <w:rFonts w:hint="eastAsia" w:ascii="Times New Roman"/>
                <w:b/>
                <w:szCs w:val="21"/>
              </w:rPr>
              <w:t>个人信息保护</w:t>
            </w:r>
          </w:p>
        </w:tc>
        <w:tc>
          <w:tcPr>
            <w:tcW w:w="1161" w:type="dxa"/>
            <w:vMerge w:val="restart"/>
            <w:vAlign w:val="center"/>
          </w:tcPr>
          <w:p>
            <w:r>
              <w:rPr>
                <w:rFonts w:hint="eastAsia"/>
              </w:rPr>
              <w:t>个人信息保护</w:t>
            </w: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66</w:t>
            </w:r>
          </w:p>
        </w:tc>
        <w:tc>
          <w:tcPr>
            <w:tcW w:w="3572" w:type="dxa"/>
            <w:vMerge w:val="restart"/>
            <w:vAlign w:val="center"/>
          </w:tcPr>
          <w:p>
            <w:pPr>
              <w:widowControl/>
              <w:jc w:val="left"/>
              <w:rPr>
                <w:rFonts w:ascii="宋体" w:hAnsi="宋体" w:cs="宋体"/>
                <w:kern w:val="0"/>
                <w:sz w:val="18"/>
                <w:szCs w:val="18"/>
              </w:rPr>
            </w:pPr>
            <w:r>
              <w:rPr>
                <w:rFonts w:hint="eastAsia" w:ascii="宋体" w:hAnsi="宋体" w:cs="宋体"/>
                <w:sz w:val="18"/>
                <w:szCs w:val="18"/>
              </w:rPr>
              <w:t>以下行为可被认定为“未公开收集使用规则”</w:t>
            </w:r>
          </w:p>
        </w:tc>
        <w:tc>
          <w:tcPr>
            <w:tcW w:w="5032" w:type="dxa"/>
            <w:vAlign w:val="center"/>
          </w:tcPr>
          <w:p>
            <w:pPr>
              <w:pStyle w:val="6"/>
              <w:widowControl w:val="0"/>
              <w:ind w:firstLine="0" w:firstLineChars="0"/>
              <w:jc w:val="left"/>
              <w:rPr>
                <w:rFonts w:hint="eastAsia" w:ascii="宋体" w:hAnsi="宋体" w:cs="宋体"/>
                <w:sz w:val="18"/>
                <w:szCs w:val="18"/>
              </w:rPr>
            </w:pPr>
            <w:r>
              <w:rPr>
                <w:rFonts w:hint="eastAsia" w:hAnsi="宋体" w:cs="宋体"/>
                <w:sz w:val="18"/>
                <w:szCs w:val="18"/>
              </w:rPr>
              <w:t>在App中没有隐私政策，或者隐私政策中没有收集使用个人信息规则</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67</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在App首次运行时未通过弹窗等明显方式提示用户阅读隐私政策等收集使用规则</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68</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隐私政策等收集使用规则难以访问，如进入App主界面后，需多于4次点击等操作才能访问到</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69</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隐私政策等收集使用规则难以阅读，如文字过小过密、颜色过淡、模糊不清，或未提供简体中文版等</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70</w:t>
            </w:r>
          </w:p>
        </w:tc>
        <w:tc>
          <w:tcPr>
            <w:tcW w:w="3572" w:type="dxa"/>
            <w:vMerge w:val="restart"/>
            <w:vAlign w:val="center"/>
          </w:tcPr>
          <w:p>
            <w:pPr>
              <w:widowControl/>
              <w:jc w:val="left"/>
              <w:rPr>
                <w:rFonts w:hint="eastAsia" w:ascii="宋体" w:hAnsi="宋体" w:cs="宋体"/>
                <w:sz w:val="18"/>
                <w:szCs w:val="18"/>
              </w:rPr>
            </w:pPr>
            <w:r>
              <w:rPr>
                <w:rFonts w:hint="eastAsia" w:ascii="宋体" w:hAnsi="宋体" w:cs="宋体"/>
                <w:sz w:val="18"/>
                <w:szCs w:val="18"/>
              </w:rPr>
              <w:t>以下行为可被认定为“未明示收集使用个人信息的目的、方式和范围”</w:t>
            </w: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未逐一列出App(包括委托的第三方或嵌入的第三方代码、插件)收集使用个人信息的目的、方式、范围等；</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71</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收集使用个人信息的目的、方式、范围发生变化时，未以适当方式通知用户，适当方式包括更新隐私政策等收集使用规则并提醒用户阅读等；</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72</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在申请打开可收集个人信息的权限，或申请收集用户身份证号、银行账号、行踪轨迹等个人敏感信息时，未同步告知用户其目的，或者目的不明确、难以理解；</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73</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有关收集使用规则的内容晦涩难懂、冗长繁琐，用户难以理解，如使用大量专业术语等。</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74</w:t>
            </w:r>
          </w:p>
        </w:tc>
        <w:tc>
          <w:tcPr>
            <w:tcW w:w="3572" w:type="dxa"/>
            <w:vMerge w:val="restart"/>
            <w:vAlign w:val="center"/>
          </w:tcPr>
          <w:p>
            <w:pPr>
              <w:widowControl/>
              <w:jc w:val="left"/>
              <w:rPr>
                <w:rFonts w:hint="eastAsia" w:ascii="宋体" w:hAnsi="宋体" w:cs="宋体"/>
                <w:sz w:val="18"/>
                <w:szCs w:val="18"/>
              </w:rPr>
            </w:pPr>
            <w:r>
              <w:rPr>
                <w:rFonts w:hint="eastAsia" w:ascii="宋体" w:hAnsi="宋体" w:cs="宋体"/>
                <w:sz w:val="18"/>
                <w:szCs w:val="18"/>
              </w:rPr>
              <w:t>以下行为可被认定为“未经用户同意收集使用个人信息”</w:t>
            </w: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征得用户同意前就开始收集个人信息或打开可收集个人信息的权限；</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75</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用户明确表示不同意后，仍收集个人信息或打开可收集个人信息的权限，或频繁征求用户同意、干扰用户正常使用；</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76</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pStyle w:val="6"/>
              <w:widowControl w:val="0"/>
              <w:ind w:firstLine="0" w:firstLineChars="0"/>
              <w:jc w:val="left"/>
              <w:rPr>
                <w:rFonts w:hint="eastAsia" w:hAnsi="宋体" w:cs="宋体"/>
                <w:sz w:val="18"/>
                <w:szCs w:val="18"/>
              </w:rPr>
            </w:pPr>
            <w:r>
              <w:rPr>
                <w:rFonts w:hint="eastAsia" w:hAnsi="宋体" w:cs="宋体"/>
                <w:sz w:val="18"/>
                <w:szCs w:val="18"/>
              </w:rPr>
              <w:t>实际收集的个人信息或打开的可收集个人信息权限超出用户授权范围；</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77</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以默认选择同意隐私政策等非明示方式征求用户同意；</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78</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未经用户同意更改其设置的可收集个人信息权限状态，如App更新时自动将用户设置的权限恢复到默认状态；</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79</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利用用户个人信息和算法定向推送信息，未提供非定向推送信息的选项；</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80</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以欺诈、诱骗等不正当方式误导用户同意收集个人信息或打开可收集个人信息的权限，如故意欺瞒、掩饰收集使用个人信息的真实目的；</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81</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未向用户提供撤回同意收集个人信息的途径、方式；</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82</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违反其所声明的收集使用规则，收集使用个人信息。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83</w:t>
            </w:r>
          </w:p>
        </w:tc>
        <w:tc>
          <w:tcPr>
            <w:tcW w:w="3572" w:type="dxa"/>
            <w:vMerge w:val="restart"/>
            <w:vAlign w:val="center"/>
          </w:tcPr>
          <w:p>
            <w:pPr>
              <w:jc w:val="left"/>
              <w:rPr>
                <w:rFonts w:hint="eastAsia" w:ascii="宋体" w:hAnsi="宋体" w:cs="宋体"/>
                <w:sz w:val="18"/>
                <w:szCs w:val="18"/>
              </w:rPr>
            </w:pPr>
            <w:r>
              <w:rPr>
                <w:rFonts w:hint="eastAsia" w:ascii="宋体" w:hAnsi="宋体" w:cs="宋体"/>
                <w:sz w:val="18"/>
                <w:szCs w:val="18"/>
              </w:rPr>
              <w:t>以下行为可被认定为“违反必要原则，收集与其提供的服务无关的个人信息”</w:t>
            </w:r>
          </w:p>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收集的个人信息类型或打开的可收集个人信息权限与现有业务功能无关；</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84</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因用户不同意收集非必要个人信息或打开非必要权限，拒绝提供业务功能；</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85</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App新增业务功能申请收集的个人信息超出用户原有同意范围，若用户不同意，则拒绝提供原有业务功能，新增业务功能取代原有业务功能的除外；</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86</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收集个人信息的频度等超出业务功能实际需要；</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87</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仅以改善服务质量、提升用户体验、定向推送信息、研发新产品等为由，强制要求用户同意收集个人信息；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widowControl/>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88</w:t>
            </w:r>
          </w:p>
        </w:tc>
        <w:tc>
          <w:tcPr>
            <w:tcW w:w="3572" w:type="dxa"/>
            <w:vMerge w:val="continue"/>
            <w:vAlign w:val="center"/>
          </w:tcPr>
          <w:p>
            <w:pPr>
              <w:widowControl/>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要求用户一次性同意打开多个可收集个人信息的权限，用户不同意则无法使用。</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restart"/>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89</w:t>
            </w:r>
          </w:p>
        </w:tc>
        <w:tc>
          <w:tcPr>
            <w:tcW w:w="3572" w:type="dxa"/>
            <w:vMerge w:val="restart"/>
            <w:vAlign w:val="center"/>
          </w:tcPr>
          <w:p>
            <w:pPr>
              <w:jc w:val="left"/>
              <w:rPr>
                <w:rFonts w:hint="eastAsia" w:ascii="宋体" w:hAnsi="宋体" w:cs="宋体"/>
                <w:sz w:val="18"/>
                <w:szCs w:val="18"/>
              </w:rPr>
            </w:pPr>
            <w:r>
              <w:rPr>
                <w:rFonts w:hint="eastAsia" w:ascii="宋体" w:hAnsi="宋体" w:cs="宋体"/>
                <w:sz w:val="18"/>
                <w:szCs w:val="18"/>
              </w:rPr>
              <w:t>以下行为可被认定为“未经同意向他人提供个人信息”</w:t>
            </w: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既未经用户同意，也未做匿名化处理，App客户端直接向第三方提供个人信息，包括通过客户端嵌入的第三方代码、插件等方式向第三方提供个人信息；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90</w:t>
            </w:r>
          </w:p>
        </w:tc>
        <w:tc>
          <w:tcPr>
            <w:tcW w:w="3572" w:type="dxa"/>
            <w:vMerge w:val="continue"/>
            <w:vAlign w:val="center"/>
          </w:tcPr>
          <w:p>
            <w:pPr>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既未经用户同意，也未做匿名化处理，数据传输至App后台服务器后，向第三方提供其收集的个人信息；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91</w:t>
            </w:r>
          </w:p>
        </w:tc>
        <w:tc>
          <w:tcPr>
            <w:tcW w:w="3572" w:type="dxa"/>
            <w:vMerge w:val="continue"/>
            <w:vAlign w:val="center"/>
          </w:tcPr>
          <w:p>
            <w:pPr>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App接入第三方应用，未经用户同意，向第三方应用提供个人信息。</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92</w:t>
            </w:r>
          </w:p>
        </w:tc>
        <w:tc>
          <w:tcPr>
            <w:tcW w:w="3572" w:type="dxa"/>
            <w:vMerge w:val="restart"/>
            <w:vAlign w:val="center"/>
          </w:tcPr>
          <w:p>
            <w:pPr>
              <w:jc w:val="left"/>
              <w:rPr>
                <w:rFonts w:hint="eastAsia" w:ascii="宋体" w:hAnsi="宋体" w:cs="宋体"/>
                <w:sz w:val="18"/>
                <w:szCs w:val="18"/>
              </w:rPr>
            </w:pPr>
            <w:r>
              <w:rPr>
                <w:rFonts w:hint="eastAsia" w:ascii="宋体" w:hAnsi="宋体" w:cs="宋体"/>
                <w:sz w:val="18"/>
                <w:szCs w:val="18"/>
              </w:rPr>
              <w:t>以下行为可被认定为“未按法律规定提供删除或更正个人信息功能”或“未公布投诉、举报方式等信息”</w:t>
            </w: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未提供有效的更正、删除个人信息及注销用户账号功能；</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93</w:t>
            </w:r>
          </w:p>
        </w:tc>
        <w:tc>
          <w:tcPr>
            <w:tcW w:w="3572" w:type="dxa"/>
            <w:vMerge w:val="continue"/>
            <w:vAlign w:val="center"/>
          </w:tcPr>
          <w:p>
            <w:pPr>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为更正、删除个人信息或注销用户账号设置不必要或不合理条件；</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94</w:t>
            </w:r>
          </w:p>
        </w:tc>
        <w:tc>
          <w:tcPr>
            <w:tcW w:w="3572" w:type="dxa"/>
            <w:vMerge w:val="continue"/>
            <w:vAlign w:val="center"/>
          </w:tcPr>
          <w:p>
            <w:pPr>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虽提供了更正、删除个人信息及注销用户账号功能，但未及时响应用户相应操作，需人工处理的，未在承诺时限内（承诺时限不得超过15个工作日，无承诺时限的，以15个工作日为限）完成核查和处理；</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95</w:t>
            </w:r>
          </w:p>
        </w:tc>
        <w:tc>
          <w:tcPr>
            <w:tcW w:w="3572" w:type="dxa"/>
            <w:vMerge w:val="continue"/>
            <w:vAlign w:val="center"/>
          </w:tcPr>
          <w:p>
            <w:pPr>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更正、删除个人信息或注销用户账号等用户操作已执行完毕，但App后台并未完成的；</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7" w:type="dxa"/>
            <w:vMerge w:val="continue"/>
            <w:vAlign w:val="center"/>
          </w:tcPr>
          <w:p>
            <w:pPr>
              <w:pStyle w:val="6"/>
              <w:widowControl w:val="0"/>
              <w:ind w:firstLine="0" w:firstLineChars="0"/>
              <w:rPr>
                <w:rFonts w:hint="eastAsia" w:ascii="Times New Roman"/>
                <w:b/>
                <w:szCs w:val="21"/>
              </w:rPr>
            </w:pPr>
          </w:p>
        </w:tc>
        <w:tc>
          <w:tcPr>
            <w:tcW w:w="1161" w:type="dxa"/>
            <w:vMerge w:val="continue"/>
            <w:vAlign w:val="center"/>
          </w:tcPr>
          <w:p>
            <w:pPr>
              <w:rPr>
                <w:rFonts w:hint="eastAsia"/>
              </w:rPr>
            </w:pPr>
          </w:p>
        </w:tc>
        <w:tc>
          <w:tcPr>
            <w:tcW w:w="675" w:type="dxa"/>
            <w:vAlign w:val="center"/>
          </w:tcPr>
          <w:p>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96</w:t>
            </w:r>
          </w:p>
        </w:tc>
        <w:tc>
          <w:tcPr>
            <w:tcW w:w="3572" w:type="dxa"/>
            <w:vMerge w:val="continue"/>
            <w:vAlign w:val="center"/>
          </w:tcPr>
          <w:p>
            <w:pPr>
              <w:jc w:val="left"/>
              <w:rPr>
                <w:rFonts w:hint="eastAsia" w:ascii="宋体" w:hAnsi="宋体" w:cs="宋体"/>
                <w:sz w:val="18"/>
                <w:szCs w:val="18"/>
              </w:rPr>
            </w:pPr>
          </w:p>
        </w:tc>
        <w:tc>
          <w:tcPr>
            <w:tcW w:w="5032" w:type="dxa"/>
            <w:vAlign w:val="center"/>
          </w:tcPr>
          <w:p>
            <w:pPr>
              <w:jc w:val="left"/>
              <w:rPr>
                <w:rFonts w:hint="eastAsia" w:ascii="宋体" w:hAnsi="宋体" w:cs="宋体"/>
                <w:sz w:val="18"/>
                <w:szCs w:val="18"/>
              </w:rPr>
            </w:pPr>
            <w:r>
              <w:rPr>
                <w:rFonts w:hint="eastAsia" w:ascii="宋体" w:hAnsi="宋体" w:cs="宋体"/>
                <w:sz w:val="18"/>
                <w:szCs w:val="18"/>
              </w:rPr>
              <w:t>未建立并公布个人信息安全投诉、举报渠道，或未在承诺时限内（承诺时限不得超过15个工作日，无承诺时限的，以15个工作日为限）受理并处理的。</w:t>
            </w:r>
          </w:p>
        </w:tc>
        <w:tc>
          <w:tcPr>
            <w:tcW w:w="1514" w:type="dxa"/>
            <w:vAlign w:val="center"/>
          </w:tcPr>
          <w:p>
            <w:pPr>
              <w:pStyle w:val="6"/>
              <w:widowControl w:val="0"/>
              <w:ind w:firstLine="0" w:firstLineChars="0"/>
              <w:rPr>
                <w:rFonts w:ascii="Times New Roman"/>
                <w:sz w:val="18"/>
                <w:szCs w:val="18"/>
              </w:rPr>
            </w:pPr>
          </w:p>
        </w:tc>
        <w:tc>
          <w:tcPr>
            <w:tcW w:w="1382" w:type="dxa"/>
            <w:vAlign w:val="center"/>
          </w:tcPr>
          <w:p>
            <w:pPr>
              <w:pStyle w:val="6"/>
              <w:widowControl w:val="0"/>
              <w:ind w:firstLine="0" w:firstLineChars="0"/>
              <w:rPr>
                <w:rFonts w:ascii="Times New Roman"/>
                <w:sz w:val="18"/>
                <w:szCs w:val="18"/>
                <w:highlight w:val="yellow"/>
              </w:rPr>
            </w:pPr>
          </w:p>
        </w:tc>
      </w:tr>
    </w:tbl>
    <w:p>
      <w:pPr>
        <w:pStyle w:val="6"/>
        <w:numPr>
          <w:ilvl w:val="0"/>
          <w:numId w:val="0"/>
        </w:numPr>
        <w:spacing w:line="240" w:lineRule="auto"/>
        <w:ind w:firstLine="600" w:firstLineChars="250"/>
        <w:rPr>
          <w:rFonts w:hAnsi="宋体"/>
          <w:color w:val="000000"/>
          <w:sz w:val="24"/>
          <w:szCs w:val="24"/>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0002A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97CC"/>
    <w:multiLevelType w:val="singleLevel"/>
    <w:tmpl w:val="2C1597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DI4ODBmYTczZTY4ODBmNWU0ZjUzYjA5YmYxMzQifQ=="/>
  </w:docVars>
  <w:rsids>
    <w:rsidRoot w:val="33A869B3"/>
    <w:rsid w:val="000D2A4C"/>
    <w:rsid w:val="00113BFA"/>
    <w:rsid w:val="001E4843"/>
    <w:rsid w:val="007929FC"/>
    <w:rsid w:val="007E7E68"/>
    <w:rsid w:val="008C3DAE"/>
    <w:rsid w:val="009251BF"/>
    <w:rsid w:val="009F6D1D"/>
    <w:rsid w:val="00B71EAD"/>
    <w:rsid w:val="00B82939"/>
    <w:rsid w:val="00BB2EDF"/>
    <w:rsid w:val="00E66BCE"/>
    <w:rsid w:val="00EA5B7F"/>
    <w:rsid w:val="00EC72B2"/>
    <w:rsid w:val="071C1847"/>
    <w:rsid w:val="08002E89"/>
    <w:rsid w:val="088E702F"/>
    <w:rsid w:val="09A530C7"/>
    <w:rsid w:val="0E11660A"/>
    <w:rsid w:val="15871C79"/>
    <w:rsid w:val="17E1160F"/>
    <w:rsid w:val="1A20037A"/>
    <w:rsid w:val="1D4502D9"/>
    <w:rsid w:val="200A4661"/>
    <w:rsid w:val="2A60459F"/>
    <w:rsid w:val="33A869B3"/>
    <w:rsid w:val="36726A5C"/>
    <w:rsid w:val="3DBF6B0D"/>
    <w:rsid w:val="3EC372FF"/>
    <w:rsid w:val="429A243B"/>
    <w:rsid w:val="43844294"/>
    <w:rsid w:val="46410CA6"/>
    <w:rsid w:val="469936D1"/>
    <w:rsid w:val="49DE5564"/>
    <w:rsid w:val="4C5F2111"/>
    <w:rsid w:val="4C637143"/>
    <w:rsid w:val="4D406875"/>
    <w:rsid w:val="4D9431D9"/>
    <w:rsid w:val="4E9D443B"/>
    <w:rsid w:val="4F1560AE"/>
    <w:rsid w:val="51093312"/>
    <w:rsid w:val="53BD6FA3"/>
    <w:rsid w:val="549F4D51"/>
    <w:rsid w:val="56AE3696"/>
    <w:rsid w:val="581E0116"/>
    <w:rsid w:val="5F34533F"/>
    <w:rsid w:val="62B9481A"/>
    <w:rsid w:val="67C740B7"/>
    <w:rsid w:val="68B32D5C"/>
    <w:rsid w:val="69FB2A6C"/>
    <w:rsid w:val="70716681"/>
    <w:rsid w:val="71250E45"/>
    <w:rsid w:val="73FE6F55"/>
    <w:rsid w:val="744E4DF4"/>
    <w:rsid w:val="76BA6F6D"/>
    <w:rsid w:val="780E11DF"/>
    <w:rsid w:val="7EC7374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
    <w:name w:val="样式 样式 缩进1 + 左侧:  0 厘米 悬挂缩进: 5 字符 首行缩进:  -5 字符 + Times New Roman..."/>
    <w:basedOn w:val="1"/>
    <w:qFormat/>
    <w:uiPriority w:val="0"/>
    <w:pPr>
      <w:widowControl/>
      <w:tabs>
        <w:tab w:val="center" w:pos="4201"/>
        <w:tab w:val="right" w:leader="dot" w:pos="9298"/>
      </w:tabs>
      <w:autoSpaceDE w:val="0"/>
      <w:autoSpaceDN w:val="0"/>
      <w:ind w:left="1418" w:leftChars="200" w:hanging="998" w:hangingChars="475"/>
    </w:pPr>
    <w:rPr>
      <w:rFonts w:cs="宋体"/>
      <w:kern w:val="0"/>
      <w:szCs w:val="20"/>
    </w:rPr>
  </w:style>
  <w:style w:type="character" w:customStyle="1" w:styleId="8">
    <w:name w:val="页眉 Char"/>
    <w:basedOn w:val="4"/>
    <w:link w:val="3"/>
    <w:qFormat/>
    <w:uiPriority w:val="0"/>
    <w:rPr>
      <w:rFonts w:ascii="Calibri" w:hAnsi="Calibri"/>
      <w:kern w:val="2"/>
      <w:sz w:val="18"/>
      <w:szCs w:val="18"/>
    </w:rPr>
  </w:style>
  <w:style w:type="character" w:customStyle="1" w:styleId="9">
    <w:name w:val="页脚 Char"/>
    <w:basedOn w:val="4"/>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8583</Words>
  <Characters>8729</Characters>
  <Lines>56</Lines>
  <Paragraphs>15</Paragraphs>
  <ScaleCrop>false</ScaleCrop>
  <LinksUpToDate>false</LinksUpToDate>
  <CharactersWithSpaces>8736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2021-11-09T07:21:00Z</dcterms:created>
  <dc:creator>jiashi</dc:creator>
  <cp:lastModifiedBy>renyn</cp:lastModifiedBy>
  <dcterms:modified xsi:type="dcterms:W3CDTF">2023-07-04T08:49:36Z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89820BDF8B54407AB79C389996059417</vt:lpwstr>
  </property>
</Properties>
</file>